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BD84" w14:textId="6A9224B6" w:rsidR="00763ABF" w:rsidRPr="00996E3C" w:rsidRDefault="00A423CF">
      <w:pPr>
        <w:rPr>
          <w:rFonts w:cstheme="minorHAnsi"/>
          <w:sz w:val="22"/>
          <w:szCs w:val="22"/>
        </w:rPr>
      </w:pPr>
      <w:r w:rsidRPr="00996E3C">
        <w:rPr>
          <w:rFonts w:cstheme="minorHAnsi"/>
          <w:sz w:val="22"/>
          <w:szCs w:val="22"/>
        </w:rPr>
        <w:t>March 7, 2022</w:t>
      </w:r>
    </w:p>
    <w:p w14:paraId="201CB0E9" w14:textId="07BBAB1F" w:rsidR="00C13A4B" w:rsidRPr="00996E3C" w:rsidRDefault="00C13A4B">
      <w:pPr>
        <w:rPr>
          <w:rFonts w:cstheme="minorHAnsi"/>
          <w:sz w:val="22"/>
          <w:szCs w:val="22"/>
        </w:rPr>
      </w:pPr>
    </w:p>
    <w:p w14:paraId="5F66A9A3" w14:textId="0EB7AEC6" w:rsidR="00700CBF" w:rsidRPr="00996E3C" w:rsidRDefault="00700CBF" w:rsidP="00700CBF">
      <w:pPr>
        <w:spacing w:before="100" w:beforeAutospacing="1" w:after="100" w:afterAutospacing="1"/>
        <w:rPr>
          <w:rFonts w:cstheme="minorHAnsi"/>
          <w:sz w:val="22"/>
          <w:szCs w:val="22"/>
        </w:rPr>
      </w:pPr>
      <w:r w:rsidRPr="00996E3C">
        <w:rPr>
          <w:rFonts w:cstheme="minorHAnsi"/>
          <w:sz w:val="22"/>
          <w:szCs w:val="22"/>
        </w:rPr>
        <w:t>Centers for Medicare &amp; Medicaid Services,</w:t>
      </w:r>
      <w:r w:rsidRPr="00996E3C">
        <w:rPr>
          <w:rFonts w:cstheme="minorHAnsi"/>
          <w:sz w:val="22"/>
          <w:szCs w:val="22"/>
        </w:rPr>
        <w:br/>
        <w:t>Department of Health and Human Services,</w:t>
      </w:r>
      <w:r w:rsidRPr="00996E3C">
        <w:rPr>
          <w:rFonts w:cstheme="minorHAnsi"/>
          <w:sz w:val="22"/>
          <w:szCs w:val="22"/>
        </w:rPr>
        <w:br/>
        <w:t>Attention: CMS-419</w:t>
      </w:r>
      <w:r w:rsidR="000970CC" w:rsidRPr="00996E3C">
        <w:rPr>
          <w:rFonts w:cstheme="minorHAnsi"/>
          <w:sz w:val="22"/>
          <w:szCs w:val="22"/>
        </w:rPr>
        <w:t>2</w:t>
      </w:r>
      <w:r w:rsidRPr="00996E3C">
        <w:rPr>
          <w:rFonts w:cstheme="minorHAnsi"/>
          <w:sz w:val="22"/>
          <w:szCs w:val="22"/>
        </w:rPr>
        <w:t>-P</w:t>
      </w:r>
      <w:r w:rsidRPr="00996E3C">
        <w:rPr>
          <w:rFonts w:cstheme="minorHAnsi"/>
          <w:sz w:val="22"/>
          <w:szCs w:val="22"/>
        </w:rPr>
        <w:br/>
        <w:t>P.O. Box 8013</w:t>
      </w:r>
      <w:r w:rsidRPr="00996E3C">
        <w:rPr>
          <w:rFonts w:cstheme="minorHAnsi"/>
          <w:sz w:val="22"/>
          <w:szCs w:val="22"/>
        </w:rPr>
        <w:br/>
        <w:t>Baltimore, MD 21244-8013</w:t>
      </w:r>
    </w:p>
    <w:p w14:paraId="0086C156" w14:textId="77777777" w:rsidR="00700CBF" w:rsidRPr="00996E3C" w:rsidRDefault="00700CBF" w:rsidP="00700CBF">
      <w:pPr>
        <w:rPr>
          <w:rFonts w:cstheme="minorHAnsi"/>
          <w:sz w:val="22"/>
          <w:szCs w:val="22"/>
        </w:rPr>
      </w:pPr>
      <w:r w:rsidRPr="00996E3C">
        <w:rPr>
          <w:rFonts w:cstheme="minorHAnsi"/>
          <w:i/>
          <w:iCs/>
          <w:color w:val="000000"/>
          <w:sz w:val="22"/>
          <w:szCs w:val="22"/>
        </w:rPr>
        <w:t>Submitted electronically</w:t>
      </w:r>
    </w:p>
    <w:p w14:paraId="42F3B83F" w14:textId="77777777" w:rsidR="0025129A" w:rsidRPr="00996E3C" w:rsidRDefault="0025129A">
      <w:pPr>
        <w:rPr>
          <w:rFonts w:cstheme="minorHAnsi"/>
          <w:sz w:val="22"/>
          <w:szCs w:val="22"/>
        </w:rPr>
      </w:pPr>
    </w:p>
    <w:p w14:paraId="55C7EF30" w14:textId="6DCA7B90" w:rsidR="00660B1A" w:rsidRPr="00996E3C" w:rsidRDefault="00660B1A" w:rsidP="00660B1A">
      <w:pPr>
        <w:pStyle w:val="NormalWeb"/>
        <w:rPr>
          <w:rFonts w:asciiTheme="minorHAnsi" w:hAnsiTheme="minorHAnsi" w:cstheme="minorHAnsi"/>
          <w:sz w:val="22"/>
          <w:szCs w:val="22"/>
        </w:rPr>
      </w:pPr>
      <w:r w:rsidRPr="00996E3C">
        <w:rPr>
          <w:rFonts w:asciiTheme="minorHAnsi" w:hAnsiTheme="minorHAnsi" w:cstheme="minorHAnsi"/>
          <w:color w:val="000000"/>
          <w:sz w:val="22"/>
          <w:szCs w:val="22"/>
        </w:rPr>
        <w:t xml:space="preserve">LeadingAge appreciates the opportunity to comment on the </w:t>
      </w:r>
      <w:r w:rsidRPr="00996E3C">
        <w:rPr>
          <w:rFonts w:asciiTheme="minorHAnsi" w:hAnsiTheme="minorHAnsi" w:cstheme="minorHAnsi"/>
          <w:sz w:val="22"/>
          <w:szCs w:val="22"/>
        </w:rPr>
        <w:t>Medicare Program; Contract Year 202</w:t>
      </w:r>
      <w:r w:rsidR="00F248E9" w:rsidRPr="00996E3C">
        <w:rPr>
          <w:rFonts w:asciiTheme="minorHAnsi" w:hAnsiTheme="minorHAnsi" w:cstheme="minorHAnsi"/>
          <w:sz w:val="22"/>
          <w:szCs w:val="22"/>
        </w:rPr>
        <w:t>3</w:t>
      </w:r>
      <w:r w:rsidRPr="00996E3C">
        <w:rPr>
          <w:rFonts w:asciiTheme="minorHAnsi" w:hAnsiTheme="minorHAnsi" w:cstheme="minorHAnsi"/>
          <w:sz w:val="22"/>
          <w:szCs w:val="22"/>
        </w:rPr>
        <w:t xml:space="preserve"> Policy and Technical Changes to the Medicare Advantage</w:t>
      </w:r>
      <w:r w:rsidR="00B338EC" w:rsidRPr="00996E3C">
        <w:rPr>
          <w:rFonts w:asciiTheme="minorHAnsi" w:hAnsiTheme="minorHAnsi" w:cstheme="minorHAnsi"/>
          <w:sz w:val="22"/>
          <w:szCs w:val="22"/>
        </w:rPr>
        <w:t xml:space="preserve"> </w:t>
      </w:r>
      <w:r w:rsidRPr="00996E3C">
        <w:rPr>
          <w:rFonts w:asciiTheme="minorHAnsi" w:hAnsiTheme="minorHAnsi" w:cstheme="minorHAnsi"/>
          <w:sz w:val="22"/>
          <w:szCs w:val="22"/>
        </w:rPr>
        <w:t>(MA)Program</w:t>
      </w:r>
      <w:r w:rsidR="00FA1711" w:rsidRPr="00996E3C">
        <w:rPr>
          <w:rFonts w:asciiTheme="minorHAnsi" w:hAnsiTheme="minorHAnsi" w:cstheme="minorHAnsi"/>
          <w:sz w:val="22"/>
          <w:szCs w:val="22"/>
        </w:rPr>
        <w:t xml:space="preserve"> and</w:t>
      </w:r>
      <w:r w:rsidRPr="00996E3C">
        <w:rPr>
          <w:rFonts w:asciiTheme="minorHAnsi" w:hAnsiTheme="minorHAnsi" w:cstheme="minorHAnsi"/>
          <w:sz w:val="22"/>
          <w:szCs w:val="22"/>
        </w:rPr>
        <w:t xml:space="preserve"> Medicare Prescription Drug Benefit Program (“proposed rule”).</w:t>
      </w:r>
    </w:p>
    <w:p w14:paraId="722FEB16" w14:textId="6F1DE3D1" w:rsidR="00660B1A" w:rsidRPr="00996E3C" w:rsidRDefault="00AD7848" w:rsidP="00660B1A">
      <w:pPr>
        <w:rPr>
          <w:rFonts w:cstheme="minorHAnsi"/>
          <w:sz w:val="22"/>
          <w:szCs w:val="22"/>
        </w:rPr>
      </w:pPr>
      <w:r w:rsidRPr="00996E3C">
        <w:rPr>
          <w:rFonts w:cstheme="minorHAnsi"/>
          <w:color w:val="000000"/>
          <w:sz w:val="22"/>
          <w:szCs w:val="22"/>
        </w:rPr>
        <w:t xml:space="preserve">The mission of LeadingAge is to be the trusted voice for aging. </w:t>
      </w:r>
      <w:r w:rsidR="005B0D19" w:rsidRPr="00996E3C">
        <w:rPr>
          <w:rFonts w:eastAsia="Times New Roman" w:cstheme="minorHAnsi"/>
          <w:color w:val="000000"/>
          <w:sz w:val="22"/>
          <w:szCs w:val="22"/>
        </w:rPr>
        <w:t xml:space="preserve">We represent more than 5,000 nonprofit aging services providers and other mission-minded organizations that touch millions of lives every day. Alongside our members and 38 state partners, we use applied research, advocacy, education, and community-building to make America a better place to grow old. Our membership encompasses the entire continuum of aging and disability services. We bring together the most inventive minds to lead and innovate solutions that support older adults wherever they call home. </w:t>
      </w:r>
    </w:p>
    <w:p w14:paraId="335AA55A" w14:textId="77777777" w:rsidR="00660B1A" w:rsidRPr="00996E3C" w:rsidRDefault="00660B1A" w:rsidP="00660B1A">
      <w:pPr>
        <w:rPr>
          <w:rFonts w:cstheme="minorHAnsi"/>
          <w:sz w:val="22"/>
          <w:szCs w:val="22"/>
        </w:rPr>
      </w:pPr>
      <w:r w:rsidRPr="00996E3C">
        <w:rPr>
          <w:rFonts w:cstheme="minorHAnsi"/>
          <w:color w:val="000000"/>
          <w:sz w:val="22"/>
          <w:szCs w:val="22"/>
        </w:rPr>
        <w:t xml:space="preserve"> </w:t>
      </w:r>
    </w:p>
    <w:p w14:paraId="37863900" w14:textId="60C0CCD0" w:rsidR="00660B1A" w:rsidRPr="00996E3C" w:rsidRDefault="00660B1A" w:rsidP="00660B1A">
      <w:pPr>
        <w:rPr>
          <w:rFonts w:cstheme="minorHAnsi"/>
          <w:color w:val="000000"/>
          <w:sz w:val="22"/>
          <w:szCs w:val="22"/>
        </w:rPr>
      </w:pPr>
      <w:r w:rsidRPr="00996E3C">
        <w:rPr>
          <w:rFonts w:cstheme="minorHAnsi"/>
          <w:color w:val="000000"/>
          <w:sz w:val="22"/>
          <w:szCs w:val="22"/>
        </w:rPr>
        <w:t xml:space="preserve">Our comments reflect the perspective of providers of post-acute care, long-term services and supports, and home and community-based services who contract with Medicare Advantage and Special Needs Plans to provide services. In addition, we also have providers who lead the operations of their own MA plans, Special Needs Plans (SNP) and PACE programs. Our comments will focus on issues with potential impact on their ability to effectively deliver services and be paid for those services. </w:t>
      </w:r>
    </w:p>
    <w:p w14:paraId="19FE28EE" w14:textId="77777777" w:rsidR="0025129A" w:rsidRPr="00996E3C" w:rsidRDefault="0025129A" w:rsidP="0025129A">
      <w:pPr>
        <w:rPr>
          <w:rFonts w:cstheme="minorHAnsi"/>
          <w:b/>
          <w:bCs/>
          <w:sz w:val="22"/>
          <w:szCs w:val="22"/>
        </w:rPr>
      </w:pPr>
    </w:p>
    <w:p w14:paraId="0F60A5F2" w14:textId="5889CCFD" w:rsidR="0025129A" w:rsidRPr="00996E3C" w:rsidRDefault="00046950" w:rsidP="0025129A">
      <w:pPr>
        <w:rPr>
          <w:rFonts w:cstheme="minorHAnsi"/>
          <w:b/>
          <w:bCs/>
          <w:i/>
          <w:iCs/>
          <w:sz w:val="22"/>
          <w:szCs w:val="22"/>
        </w:rPr>
      </w:pPr>
      <w:r w:rsidRPr="00996E3C">
        <w:rPr>
          <w:rFonts w:cstheme="minorHAnsi"/>
          <w:b/>
          <w:bCs/>
          <w:i/>
          <w:iCs/>
          <w:sz w:val="22"/>
          <w:szCs w:val="22"/>
        </w:rPr>
        <w:t>Calculation of Maximum Out of Pocket</w:t>
      </w:r>
      <w:r w:rsidR="001606A4" w:rsidRPr="00996E3C">
        <w:rPr>
          <w:rFonts w:cstheme="minorHAnsi"/>
          <w:b/>
          <w:bCs/>
          <w:i/>
          <w:iCs/>
          <w:sz w:val="22"/>
          <w:szCs w:val="22"/>
        </w:rPr>
        <w:t xml:space="preserve"> (MOOP)</w:t>
      </w:r>
      <w:r w:rsidRPr="00996E3C">
        <w:rPr>
          <w:rFonts w:cstheme="minorHAnsi"/>
          <w:b/>
          <w:bCs/>
          <w:i/>
          <w:iCs/>
          <w:sz w:val="22"/>
          <w:szCs w:val="22"/>
        </w:rPr>
        <w:t xml:space="preserve"> Costs </w:t>
      </w:r>
    </w:p>
    <w:p w14:paraId="26BD0275" w14:textId="53FCAFB1" w:rsidR="00C17B15" w:rsidRPr="00996E3C" w:rsidRDefault="00F823AF" w:rsidP="00391A8A">
      <w:pPr>
        <w:rPr>
          <w:rFonts w:cstheme="minorHAnsi"/>
          <w:sz w:val="22"/>
          <w:szCs w:val="22"/>
        </w:rPr>
      </w:pPr>
      <w:r w:rsidRPr="00996E3C">
        <w:rPr>
          <w:rFonts w:cstheme="minorHAnsi"/>
          <w:sz w:val="22"/>
          <w:szCs w:val="22"/>
        </w:rPr>
        <w:t xml:space="preserve">Overall </w:t>
      </w:r>
      <w:r w:rsidR="00C17B15" w:rsidRPr="00996E3C">
        <w:rPr>
          <w:rFonts w:cstheme="minorHAnsi"/>
          <w:sz w:val="22"/>
          <w:szCs w:val="22"/>
        </w:rPr>
        <w:t xml:space="preserve">LeadingAge supports </w:t>
      </w:r>
      <w:r w:rsidR="008413FF" w:rsidRPr="00996E3C">
        <w:rPr>
          <w:rFonts w:cstheme="minorHAnsi"/>
          <w:sz w:val="22"/>
          <w:szCs w:val="22"/>
        </w:rPr>
        <w:t xml:space="preserve">CMS’s proposal to </w:t>
      </w:r>
      <w:r w:rsidR="00B64591" w:rsidRPr="00996E3C">
        <w:rPr>
          <w:rFonts w:cstheme="minorHAnsi"/>
          <w:sz w:val="22"/>
          <w:szCs w:val="22"/>
        </w:rPr>
        <w:t>begin requiring all Dual-SNPs (D-SNPs) to include cost sharing paid by Medicaid agencies and other third parties</w:t>
      </w:r>
      <w:r w:rsidR="002227AF" w:rsidRPr="00996E3C">
        <w:rPr>
          <w:rFonts w:cstheme="minorHAnsi"/>
          <w:sz w:val="22"/>
          <w:szCs w:val="22"/>
        </w:rPr>
        <w:t xml:space="preserve"> in the MOOP calculation</w:t>
      </w:r>
      <w:r w:rsidRPr="00996E3C">
        <w:rPr>
          <w:rFonts w:cstheme="minorHAnsi"/>
          <w:sz w:val="22"/>
          <w:szCs w:val="22"/>
        </w:rPr>
        <w:t xml:space="preserve"> though we share the concerns expressed about the potential negative impact to the Medicare Trust Fund</w:t>
      </w:r>
      <w:r w:rsidR="003A4265" w:rsidRPr="00996E3C">
        <w:rPr>
          <w:rFonts w:cstheme="minorHAnsi"/>
          <w:sz w:val="22"/>
          <w:szCs w:val="22"/>
        </w:rPr>
        <w:t xml:space="preserve"> of the additional Medicare spending</w:t>
      </w:r>
      <w:r w:rsidR="002227AF" w:rsidRPr="00996E3C">
        <w:rPr>
          <w:rFonts w:cstheme="minorHAnsi"/>
          <w:sz w:val="22"/>
          <w:szCs w:val="22"/>
        </w:rPr>
        <w:t xml:space="preserve">. </w:t>
      </w:r>
      <w:r w:rsidR="00F17304" w:rsidRPr="00996E3C">
        <w:rPr>
          <w:rFonts w:cstheme="minorHAnsi"/>
          <w:sz w:val="22"/>
          <w:szCs w:val="22"/>
        </w:rPr>
        <w:t>On the positive side, t</w:t>
      </w:r>
      <w:r w:rsidR="00C17B15" w:rsidRPr="00996E3C">
        <w:rPr>
          <w:rFonts w:cstheme="minorHAnsi"/>
          <w:sz w:val="22"/>
          <w:szCs w:val="22"/>
        </w:rPr>
        <w:t xml:space="preserve">his change </w:t>
      </w:r>
      <w:r w:rsidR="00823F22" w:rsidRPr="00996E3C">
        <w:rPr>
          <w:rFonts w:cstheme="minorHAnsi"/>
          <w:sz w:val="22"/>
          <w:szCs w:val="22"/>
        </w:rPr>
        <w:t>offers</w:t>
      </w:r>
      <w:r w:rsidR="00704B7C" w:rsidRPr="00996E3C">
        <w:rPr>
          <w:rFonts w:cstheme="minorHAnsi"/>
          <w:sz w:val="22"/>
          <w:szCs w:val="22"/>
        </w:rPr>
        <w:t xml:space="preserve"> more parity for those providers</w:t>
      </w:r>
      <w:r w:rsidR="00C80013" w:rsidRPr="00996E3C">
        <w:rPr>
          <w:rFonts w:cstheme="minorHAnsi"/>
          <w:sz w:val="22"/>
          <w:szCs w:val="22"/>
        </w:rPr>
        <w:t xml:space="preserve">, such as our member nursing homes and home health agencies, who may serve a disproportionately dual population. </w:t>
      </w:r>
      <w:r w:rsidR="00F17304" w:rsidRPr="00996E3C">
        <w:rPr>
          <w:rFonts w:cstheme="minorHAnsi"/>
          <w:sz w:val="22"/>
          <w:szCs w:val="22"/>
        </w:rPr>
        <w:t xml:space="preserve">It </w:t>
      </w:r>
      <w:r w:rsidR="00A6595F" w:rsidRPr="00996E3C">
        <w:rPr>
          <w:rFonts w:cstheme="minorHAnsi"/>
          <w:sz w:val="22"/>
          <w:szCs w:val="22"/>
        </w:rPr>
        <w:t xml:space="preserve">could have the effect of providers receiving a full payment versus </w:t>
      </w:r>
      <w:r w:rsidR="00A320E7" w:rsidRPr="00996E3C">
        <w:rPr>
          <w:rFonts w:cstheme="minorHAnsi"/>
          <w:sz w:val="22"/>
          <w:szCs w:val="22"/>
        </w:rPr>
        <w:t>needing to track down the cost sharing amounts for extended periods of time</w:t>
      </w:r>
      <w:r w:rsidR="00002977" w:rsidRPr="00996E3C">
        <w:rPr>
          <w:rFonts w:cstheme="minorHAnsi"/>
          <w:sz w:val="22"/>
          <w:szCs w:val="22"/>
        </w:rPr>
        <w:t xml:space="preserve"> for duals</w:t>
      </w:r>
      <w:r w:rsidR="009F0455" w:rsidRPr="00996E3C">
        <w:rPr>
          <w:rFonts w:cstheme="minorHAnsi"/>
          <w:sz w:val="22"/>
          <w:szCs w:val="22"/>
        </w:rPr>
        <w:t xml:space="preserve">, as is the case today, when this cost sharing is not included </w:t>
      </w:r>
      <w:r w:rsidR="00B3316B" w:rsidRPr="00996E3C">
        <w:rPr>
          <w:rFonts w:cstheme="minorHAnsi"/>
          <w:sz w:val="22"/>
          <w:szCs w:val="22"/>
        </w:rPr>
        <w:t>in the MOOP by some plans</w:t>
      </w:r>
      <w:r w:rsidR="00A320E7" w:rsidRPr="00996E3C">
        <w:rPr>
          <w:rFonts w:cstheme="minorHAnsi"/>
          <w:sz w:val="22"/>
          <w:szCs w:val="22"/>
        </w:rPr>
        <w:t>.</w:t>
      </w:r>
      <w:r w:rsidR="00816792" w:rsidRPr="00996E3C">
        <w:rPr>
          <w:rFonts w:cstheme="minorHAnsi"/>
          <w:sz w:val="22"/>
          <w:szCs w:val="22"/>
        </w:rPr>
        <w:t xml:space="preserve"> </w:t>
      </w:r>
      <w:r w:rsidR="00B57D67" w:rsidRPr="00996E3C">
        <w:rPr>
          <w:rFonts w:cstheme="minorHAnsi"/>
          <w:sz w:val="22"/>
          <w:szCs w:val="22"/>
        </w:rPr>
        <w:t>Given the significant reductions in payment tha</w:t>
      </w:r>
      <w:r w:rsidR="002B742F" w:rsidRPr="00996E3C">
        <w:rPr>
          <w:rFonts w:cstheme="minorHAnsi"/>
          <w:sz w:val="22"/>
          <w:szCs w:val="22"/>
        </w:rPr>
        <w:t xml:space="preserve">t providers have suffered under recent contracts with the plans, any change to increase the reimbursement going to providers is appreciated. </w:t>
      </w:r>
      <w:r w:rsidR="00C80013" w:rsidRPr="00996E3C">
        <w:rPr>
          <w:rFonts w:cstheme="minorHAnsi"/>
          <w:sz w:val="22"/>
          <w:szCs w:val="22"/>
        </w:rPr>
        <w:t xml:space="preserve">Having said that, we </w:t>
      </w:r>
      <w:r w:rsidR="00A80CD0" w:rsidRPr="00996E3C">
        <w:rPr>
          <w:rFonts w:cstheme="minorHAnsi"/>
          <w:sz w:val="22"/>
          <w:szCs w:val="22"/>
        </w:rPr>
        <w:t xml:space="preserve">would be remiss if we didn’t note our </w:t>
      </w:r>
      <w:r w:rsidR="00816792" w:rsidRPr="00996E3C">
        <w:rPr>
          <w:rFonts w:cstheme="minorHAnsi"/>
          <w:sz w:val="22"/>
          <w:szCs w:val="22"/>
        </w:rPr>
        <w:t xml:space="preserve">concern about the </w:t>
      </w:r>
      <w:r w:rsidR="00A80CD0" w:rsidRPr="00996E3C">
        <w:rPr>
          <w:rFonts w:cstheme="minorHAnsi"/>
          <w:sz w:val="22"/>
          <w:szCs w:val="22"/>
        </w:rPr>
        <w:t xml:space="preserve">potential </w:t>
      </w:r>
      <w:r w:rsidR="00002977" w:rsidRPr="00996E3C">
        <w:rPr>
          <w:rFonts w:cstheme="minorHAnsi"/>
          <w:sz w:val="22"/>
          <w:szCs w:val="22"/>
        </w:rPr>
        <w:t>impact</w:t>
      </w:r>
      <w:r w:rsidR="00984AF0" w:rsidRPr="00996E3C">
        <w:rPr>
          <w:rFonts w:cstheme="minorHAnsi"/>
          <w:sz w:val="22"/>
          <w:szCs w:val="22"/>
        </w:rPr>
        <w:t>s</w:t>
      </w:r>
      <w:r w:rsidR="00002977" w:rsidRPr="00996E3C">
        <w:rPr>
          <w:rFonts w:cstheme="minorHAnsi"/>
          <w:sz w:val="22"/>
          <w:szCs w:val="22"/>
        </w:rPr>
        <w:t xml:space="preserve"> </w:t>
      </w:r>
      <w:r w:rsidR="00A80CD0" w:rsidRPr="00996E3C">
        <w:rPr>
          <w:rFonts w:cstheme="minorHAnsi"/>
          <w:sz w:val="22"/>
          <w:szCs w:val="22"/>
        </w:rPr>
        <w:t xml:space="preserve">of </w:t>
      </w:r>
      <w:r w:rsidR="00002977" w:rsidRPr="00996E3C">
        <w:rPr>
          <w:rFonts w:cstheme="minorHAnsi"/>
          <w:sz w:val="22"/>
          <w:szCs w:val="22"/>
        </w:rPr>
        <w:t>this change</w:t>
      </w:r>
      <w:r w:rsidR="00984AF0" w:rsidRPr="00996E3C">
        <w:rPr>
          <w:rFonts w:cstheme="minorHAnsi"/>
          <w:sz w:val="22"/>
          <w:szCs w:val="22"/>
        </w:rPr>
        <w:t xml:space="preserve"> including</w:t>
      </w:r>
      <w:r w:rsidR="00002977" w:rsidRPr="00996E3C">
        <w:rPr>
          <w:rFonts w:cstheme="minorHAnsi"/>
          <w:sz w:val="22"/>
          <w:szCs w:val="22"/>
        </w:rPr>
        <w:t xml:space="preserve">: 1) </w:t>
      </w:r>
      <w:r w:rsidR="00984AF0" w:rsidRPr="00996E3C">
        <w:rPr>
          <w:rFonts w:cstheme="minorHAnsi"/>
          <w:sz w:val="22"/>
          <w:szCs w:val="22"/>
        </w:rPr>
        <w:t xml:space="preserve">the projected increase in Medicare spending and its </w:t>
      </w:r>
      <w:r w:rsidR="0076500F" w:rsidRPr="00996E3C">
        <w:rPr>
          <w:rFonts w:cstheme="minorHAnsi"/>
          <w:sz w:val="22"/>
          <w:szCs w:val="22"/>
        </w:rPr>
        <w:t>effect</w:t>
      </w:r>
      <w:r w:rsidR="00984AF0" w:rsidRPr="00996E3C">
        <w:rPr>
          <w:rFonts w:cstheme="minorHAnsi"/>
          <w:sz w:val="22"/>
          <w:szCs w:val="22"/>
        </w:rPr>
        <w:t xml:space="preserve"> on </w:t>
      </w:r>
      <w:r w:rsidR="00002977" w:rsidRPr="00996E3C">
        <w:rPr>
          <w:rFonts w:cstheme="minorHAnsi"/>
          <w:sz w:val="22"/>
          <w:szCs w:val="22"/>
        </w:rPr>
        <w:t xml:space="preserve">the </w:t>
      </w:r>
      <w:r w:rsidR="00984AF0" w:rsidRPr="00996E3C">
        <w:rPr>
          <w:rFonts w:cstheme="minorHAnsi"/>
          <w:sz w:val="22"/>
          <w:szCs w:val="22"/>
        </w:rPr>
        <w:t xml:space="preserve">solvency of the </w:t>
      </w:r>
      <w:r w:rsidR="00002977" w:rsidRPr="00996E3C">
        <w:rPr>
          <w:rFonts w:cstheme="minorHAnsi"/>
          <w:sz w:val="22"/>
          <w:szCs w:val="22"/>
        </w:rPr>
        <w:t>Medicare Trust Fund</w:t>
      </w:r>
      <w:r w:rsidR="00BD611D" w:rsidRPr="00996E3C">
        <w:rPr>
          <w:rFonts w:cstheme="minorHAnsi"/>
          <w:sz w:val="22"/>
          <w:szCs w:val="22"/>
        </w:rPr>
        <w:t xml:space="preserve">; and 2) </w:t>
      </w:r>
      <w:r w:rsidR="00577441" w:rsidRPr="00996E3C">
        <w:rPr>
          <w:rFonts w:cstheme="minorHAnsi"/>
          <w:sz w:val="22"/>
          <w:szCs w:val="22"/>
        </w:rPr>
        <w:t xml:space="preserve">the potential negative consequence it might have </w:t>
      </w:r>
      <w:r w:rsidR="008D3F64" w:rsidRPr="00996E3C">
        <w:rPr>
          <w:rFonts w:cstheme="minorHAnsi"/>
          <w:sz w:val="22"/>
          <w:szCs w:val="22"/>
        </w:rPr>
        <w:t xml:space="preserve">of reducing available rebate dollars to the plans thereby limiting their ability to </w:t>
      </w:r>
      <w:r w:rsidR="00B85290" w:rsidRPr="00996E3C">
        <w:rPr>
          <w:rFonts w:cstheme="minorHAnsi"/>
          <w:sz w:val="22"/>
          <w:szCs w:val="22"/>
        </w:rPr>
        <w:t xml:space="preserve">provide supplemental benefits. </w:t>
      </w:r>
      <w:r w:rsidR="004961D9" w:rsidRPr="00996E3C">
        <w:rPr>
          <w:rFonts w:cstheme="minorHAnsi"/>
          <w:sz w:val="22"/>
          <w:szCs w:val="22"/>
        </w:rPr>
        <w:t>Nonetheless, these are costs that would otherwis</w:t>
      </w:r>
      <w:r w:rsidR="00C5174E" w:rsidRPr="00996E3C">
        <w:rPr>
          <w:rFonts w:cstheme="minorHAnsi"/>
          <w:sz w:val="22"/>
          <w:szCs w:val="22"/>
        </w:rPr>
        <w:t>e</w:t>
      </w:r>
      <w:r w:rsidR="004961D9" w:rsidRPr="00996E3C">
        <w:rPr>
          <w:rFonts w:cstheme="minorHAnsi"/>
          <w:sz w:val="22"/>
          <w:szCs w:val="22"/>
        </w:rPr>
        <w:t xml:space="preserve"> </w:t>
      </w:r>
      <w:r w:rsidR="00914141" w:rsidRPr="00996E3C">
        <w:rPr>
          <w:rFonts w:cstheme="minorHAnsi"/>
          <w:sz w:val="22"/>
          <w:szCs w:val="22"/>
        </w:rPr>
        <w:t xml:space="preserve">have </w:t>
      </w:r>
      <w:r w:rsidR="004961D9" w:rsidRPr="00996E3C">
        <w:rPr>
          <w:rFonts w:cstheme="minorHAnsi"/>
          <w:sz w:val="22"/>
          <w:szCs w:val="22"/>
        </w:rPr>
        <w:t xml:space="preserve">been born by </w:t>
      </w:r>
      <w:r w:rsidR="000A3599" w:rsidRPr="00996E3C">
        <w:rPr>
          <w:rFonts w:cstheme="minorHAnsi"/>
          <w:sz w:val="22"/>
          <w:szCs w:val="22"/>
        </w:rPr>
        <w:t>the D-SNPs</w:t>
      </w:r>
      <w:r w:rsidR="004961D9" w:rsidRPr="00996E3C">
        <w:rPr>
          <w:rFonts w:cstheme="minorHAnsi"/>
          <w:sz w:val="22"/>
          <w:szCs w:val="22"/>
        </w:rPr>
        <w:t>, if the individual was not a dual eligible</w:t>
      </w:r>
      <w:r w:rsidR="0076500F" w:rsidRPr="00996E3C">
        <w:rPr>
          <w:rFonts w:cstheme="minorHAnsi"/>
          <w:sz w:val="22"/>
          <w:szCs w:val="22"/>
        </w:rPr>
        <w:t>,</w:t>
      </w:r>
      <w:r w:rsidR="000A3599" w:rsidRPr="00996E3C">
        <w:rPr>
          <w:rFonts w:cstheme="minorHAnsi"/>
          <w:sz w:val="22"/>
          <w:szCs w:val="22"/>
        </w:rPr>
        <w:t xml:space="preserve"> and so the change</w:t>
      </w:r>
      <w:r w:rsidR="00206EEF" w:rsidRPr="00996E3C">
        <w:rPr>
          <w:rFonts w:cstheme="minorHAnsi"/>
          <w:sz w:val="22"/>
          <w:szCs w:val="22"/>
        </w:rPr>
        <w:t xml:space="preserve"> really just </w:t>
      </w:r>
      <w:r w:rsidR="001E7BB5" w:rsidRPr="00996E3C">
        <w:rPr>
          <w:rFonts w:cstheme="minorHAnsi"/>
          <w:sz w:val="22"/>
          <w:szCs w:val="22"/>
        </w:rPr>
        <w:t>requires all plans to behave similarly</w:t>
      </w:r>
      <w:r w:rsidR="00BD6F2B" w:rsidRPr="00996E3C">
        <w:rPr>
          <w:rFonts w:cstheme="minorHAnsi"/>
          <w:sz w:val="22"/>
          <w:szCs w:val="22"/>
        </w:rPr>
        <w:t xml:space="preserve"> and reflects the true costs instead of cost shifting to Medicaid. </w:t>
      </w:r>
    </w:p>
    <w:p w14:paraId="4F95A89E" w14:textId="77777777" w:rsidR="00E24F68" w:rsidRPr="00996E3C" w:rsidRDefault="00E24F68" w:rsidP="00E24F68">
      <w:pPr>
        <w:pStyle w:val="ListParagraph"/>
        <w:rPr>
          <w:rFonts w:cstheme="minorHAnsi"/>
          <w:sz w:val="22"/>
          <w:szCs w:val="22"/>
        </w:rPr>
      </w:pPr>
    </w:p>
    <w:p w14:paraId="24A0BC8F" w14:textId="77777777" w:rsidR="00B35C67" w:rsidRDefault="00B35C67">
      <w:pPr>
        <w:rPr>
          <w:rFonts w:cstheme="minorHAnsi"/>
          <w:b/>
          <w:bCs/>
          <w:i/>
          <w:iCs/>
          <w:sz w:val="22"/>
          <w:szCs w:val="22"/>
        </w:rPr>
      </w:pPr>
      <w:r>
        <w:rPr>
          <w:rFonts w:cstheme="minorHAnsi"/>
          <w:b/>
          <w:bCs/>
          <w:i/>
          <w:iCs/>
          <w:sz w:val="22"/>
          <w:szCs w:val="22"/>
        </w:rPr>
        <w:br w:type="page"/>
      </w:r>
    </w:p>
    <w:p w14:paraId="1A3730E0" w14:textId="12203B98" w:rsidR="00DB2BFA" w:rsidRPr="00B35C67" w:rsidRDefault="00C13A4B" w:rsidP="00B35C67">
      <w:pPr>
        <w:rPr>
          <w:rFonts w:cstheme="minorHAnsi"/>
          <w:sz w:val="22"/>
          <w:szCs w:val="22"/>
        </w:rPr>
      </w:pPr>
      <w:r w:rsidRPr="00996E3C">
        <w:rPr>
          <w:rFonts w:cstheme="minorHAnsi"/>
          <w:b/>
          <w:bCs/>
          <w:i/>
          <w:iCs/>
          <w:sz w:val="22"/>
          <w:szCs w:val="22"/>
        </w:rPr>
        <w:t xml:space="preserve">DSNP Integration </w:t>
      </w:r>
      <w:r w:rsidR="00A33DBE" w:rsidRPr="00996E3C">
        <w:rPr>
          <w:rFonts w:cstheme="minorHAnsi"/>
          <w:b/>
          <w:bCs/>
          <w:i/>
          <w:iCs/>
          <w:sz w:val="22"/>
          <w:szCs w:val="22"/>
        </w:rPr>
        <w:t xml:space="preserve">and other changes. </w:t>
      </w:r>
    </w:p>
    <w:p w14:paraId="7BC28416" w14:textId="0E3A1D15" w:rsidR="001D5144" w:rsidRPr="00996E3C" w:rsidRDefault="00327C42" w:rsidP="001D5144">
      <w:pPr>
        <w:rPr>
          <w:rFonts w:cstheme="minorHAnsi"/>
          <w:sz w:val="22"/>
          <w:szCs w:val="22"/>
        </w:rPr>
      </w:pPr>
      <w:r w:rsidRPr="00996E3C">
        <w:rPr>
          <w:rFonts w:cstheme="minorHAnsi"/>
          <w:sz w:val="22"/>
          <w:szCs w:val="22"/>
        </w:rPr>
        <w:t xml:space="preserve">LeadingAge applauds </w:t>
      </w:r>
      <w:r w:rsidR="00286654" w:rsidRPr="00996E3C">
        <w:rPr>
          <w:rFonts w:cstheme="minorHAnsi"/>
          <w:sz w:val="22"/>
          <w:szCs w:val="22"/>
        </w:rPr>
        <w:t>the</w:t>
      </w:r>
      <w:r w:rsidRPr="00996E3C">
        <w:rPr>
          <w:rFonts w:cstheme="minorHAnsi"/>
          <w:sz w:val="22"/>
          <w:szCs w:val="22"/>
        </w:rPr>
        <w:t xml:space="preserve"> </w:t>
      </w:r>
      <w:r w:rsidR="00CF4229" w:rsidRPr="00996E3C">
        <w:rPr>
          <w:rFonts w:cstheme="minorHAnsi"/>
          <w:sz w:val="22"/>
          <w:szCs w:val="22"/>
        </w:rPr>
        <w:t xml:space="preserve">CMS’s efforts to </w:t>
      </w:r>
      <w:r w:rsidR="00EB1E98" w:rsidRPr="00996E3C">
        <w:rPr>
          <w:rFonts w:cstheme="minorHAnsi"/>
          <w:sz w:val="22"/>
          <w:szCs w:val="22"/>
        </w:rPr>
        <w:t>adapt lessons learned from the Medicare-Medicaid Plans (MMPs) and apply them more broadly to D-SNPs</w:t>
      </w:r>
      <w:r w:rsidR="0015120D" w:rsidRPr="00996E3C">
        <w:rPr>
          <w:rFonts w:cstheme="minorHAnsi"/>
          <w:sz w:val="22"/>
          <w:szCs w:val="22"/>
        </w:rPr>
        <w:t xml:space="preserve"> </w:t>
      </w:r>
      <w:r w:rsidR="00BB1247" w:rsidRPr="00996E3C">
        <w:rPr>
          <w:rFonts w:cstheme="minorHAnsi"/>
          <w:sz w:val="22"/>
          <w:szCs w:val="22"/>
        </w:rPr>
        <w:t>continu</w:t>
      </w:r>
      <w:r w:rsidR="0015120D" w:rsidRPr="00996E3C">
        <w:rPr>
          <w:rFonts w:cstheme="minorHAnsi"/>
          <w:sz w:val="22"/>
          <w:szCs w:val="22"/>
        </w:rPr>
        <w:t>ing</w:t>
      </w:r>
      <w:r w:rsidR="00BB1247" w:rsidRPr="00996E3C">
        <w:rPr>
          <w:rFonts w:cstheme="minorHAnsi"/>
          <w:sz w:val="22"/>
          <w:szCs w:val="22"/>
        </w:rPr>
        <w:t xml:space="preserve"> movement toward</w:t>
      </w:r>
      <w:r w:rsidR="008C0404" w:rsidRPr="00996E3C">
        <w:rPr>
          <w:rFonts w:cstheme="minorHAnsi"/>
          <w:sz w:val="22"/>
          <w:szCs w:val="22"/>
        </w:rPr>
        <w:t xml:space="preserve"> </w:t>
      </w:r>
      <w:r w:rsidR="00E76B53" w:rsidRPr="00996E3C">
        <w:rPr>
          <w:rFonts w:cstheme="minorHAnsi"/>
          <w:sz w:val="22"/>
          <w:szCs w:val="22"/>
        </w:rPr>
        <w:t>a more robust</w:t>
      </w:r>
      <w:r w:rsidR="00B213EE" w:rsidRPr="00996E3C">
        <w:rPr>
          <w:rFonts w:cstheme="minorHAnsi"/>
          <w:sz w:val="22"/>
          <w:szCs w:val="22"/>
        </w:rPr>
        <w:t xml:space="preserve"> </w:t>
      </w:r>
      <w:r w:rsidRPr="00996E3C">
        <w:rPr>
          <w:rFonts w:cstheme="minorHAnsi"/>
          <w:sz w:val="22"/>
          <w:szCs w:val="22"/>
        </w:rPr>
        <w:t>integrat</w:t>
      </w:r>
      <w:r w:rsidR="00E76B53" w:rsidRPr="00996E3C">
        <w:rPr>
          <w:rFonts w:cstheme="minorHAnsi"/>
          <w:sz w:val="22"/>
          <w:szCs w:val="22"/>
        </w:rPr>
        <w:t xml:space="preserve">ed experience </w:t>
      </w:r>
      <w:r w:rsidRPr="00996E3C">
        <w:rPr>
          <w:rFonts w:cstheme="minorHAnsi"/>
          <w:sz w:val="22"/>
          <w:szCs w:val="22"/>
        </w:rPr>
        <w:t>for dual eligible</w:t>
      </w:r>
      <w:r w:rsidR="008C0404" w:rsidRPr="00996E3C">
        <w:rPr>
          <w:rFonts w:cstheme="minorHAnsi"/>
          <w:sz w:val="22"/>
          <w:szCs w:val="22"/>
        </w:rPr>
        <w:t>s</w:t>
      </w:r>
      <w:r w:rsidR="00DA246D" w:rsidRPr="00996E3C">
        <w:rPr>
          <w:rFonts w:cstheme="minorHAnsi"/>
          <w:sz w:val="22"/>
          <w:szCs w:val="22"/>
        </w:rPr>
        <w:t xml:space="preserve"> enrolled in </w:t>
      </w:r>
      <w:r w:rsidR="000473CF" w:rsidRPr="00996E3C">
        <w:rPr>
          <w:rFonts w:cstheme="minorHAnsi"/>
          <w:sz w:val="22"/>
          <w:szCs w:val="22"/>
        </w:rPr>
        <w:t>D-SNP plans</w:t>
      </w:r>
      <w:r w:rsidRPr="00996E3C">
        <w:rPr>
          <w:rFonts w:cstheme="minorHAnsi"/>
          <w:sz w:val="22"/>
          <w:szCs w:val="22"/>
        </w:rPr>
        <w:t>.</w:t>
      </w:r>
      <w:r w:rsidR="009F1A3E" w:rsidRPr="00996E3C">
        <w:rPr>
          <w:rFonts w:cstheme="minorHAnsi"/>
          <w:sz w:val="22"/>
          <w:szCs w:val="22"/>
        </w:rPr>
        <w:t xml:space="preserve"> In particular,</w:t>
      </w:r>
      <w:r w:rsidRPr="00996E3C">
        <w:rPr>
          <w:rFonts w:cstheme="minorHAnsi"/>
          <w:sz w:val="22"/>
          <w:szCs w:val="22"/>
        </w:rPr>
        <w:t xml:space="preserve"> </w:t>
      </w:r>
      <w:r w:rsidR="009F1A3E" w:rsidRPr="00996E3C">
        <w:rPr>
          <w:rFonts w:cstheme="minorHAnsi"/>
          <w:sz w:val="22"/>
          <w:szCs w:val="22"/>
        </w:rPr>
        <w:t>w</w:t>
      </w:r>
      <w:r w:rsidRPr="00996E3C">
        <w:rPr>
          <w:rFonts w:cstheme="minorHAnsi"/>
          <w:sz w:val="22"/>
          <w:szCs w:val="22"/>
        </w:rPr>
        <w:t xml:space="preserve">e support </w:t>
      </w:r>
      <w:r w:rsidR="00E57F09" w:rsidRPr="00996E3C">
        <w:rPr>
          <w:rFonts w:cstheme="minorHAnsi"/>
          <w:sz w:val="22"/>
          <w:szCs w:val="22"/>
        </w:rPr>
        <w:t xml:space="preserve">the clarifications that better delineate </w:t>
      </w:r>
      <w:r w:rsidR="00286654" w:rsidRPr="00996E3C">
        <w:rPr>
          <w:rFonts w:cstheme="minorHAnsi"/>
          <w:sz w:val="22"/>
          <w:szCs w:val="22"/>
        </w:rPr>
        <w:t>financially integrated dual eligible (</w:t>
      </w:r>
      <w:r w:rsidR="00E57F09" w:rsidRPr="00996E3C">
        <w:rPr>
          <w:rFonts w:cstheme="minorHAnsi"/>
          <w:sz w:val="22"/>
          <w:szCs w:val="22"/>
        </w:rPr>
        <w:t>FIDE</w:t>
      </w:r>
      <w:r w:rsidR="00286654" w:rsidRPr="00996E3C">
        <w:rPr>
          <w:rFonts w:cstheme="minorHAnsi"/>
          <w:sz w:val="22"/>
          <w:szCs w:val="22"/>
        </w:rPr>
        <w:t>)</w:t>
      </w:r>
      <w:r w:rsidR="00E57F09" w:rsidRPr="00996E3C">
        <w:rPr>
          <w:rFonts w:cstheme="minorHAnsi"/>
          <w:sz w:val="22"/>
          <w:szCs w:val="22"/>
        </w:rPr>
        <w:t xml:space="preserve"> and </w:t>
      </w:r>
      <w:r w:rsidR="00286654" w:rsidRPr="00996E3C">
        <w:rPr>
          <w:rFonts w:cstheme="minorHAnsi"/>
          <w:sz w:val="22"/>
          <w:szCs w:val="22"/>
        </w:rPr>
        <w:t>highly integrated dual eligible (</w:t>
      </w:r>
      <w:r w:rsidR="00E57F09" w:rsidRPr="00996E3C">
        <w:rPr>
          <w:rFonts w:cstheme="minorHAnsi"/>
          <w:sz w:val="22"/>
          <w:szCs w:val="22"/>
        </w:rPr>
        <w:t>HID</w:t>
      </w:r>
      <w:r w:rsidR="00286654" w:rsidRPr="00996E3C">
        <w:rPr>
          <w:rFonts w:cstheme="minorHAnsi"/>
          <w:sz w:val="22"/>
          <w:szCs w:val="22"/>
        </w:rPr>
        <w:t>E)</w:t>
      </w:r>
      <w:r w:rsidR="00E57F09" w:rsidRPr="00996E3C">
        <w:rPr>
          <w:rFonts w:cstheme="minorHAnsi"/>
          <w:sz w:val="22"/>
          <w:szCs w:val="22"/>
        </w:rPr>
        <w:t xml:space="preserve"> SNPs</w:t>
      </w:r>
      <w:r w:rsidR="001D5144" w:rsidRPr="00996E3C">
        <w:rPr>
          <w:rFonts w:cstheme="minorHAnsi"/>
          <w:sz w:val="22"/>
          <w:szCs w:val="22"/>
        </w:rPr>
        <w:t>;</w:t>
      </w:r>
      <w:r w:rsidR="00B213EE" w:rsidRPr="00996E3C">
        <w:rPr>
          <w:rFonts w:cstheme="minorHAnsi"/>
          <w:sz w:val="22"/>
          <w:szCs w:val="22"/>
        </w:rPr>
        <w:t xml:space="preserve"> the new requirement for Enrollee Advisory Committees</w:t>
      </w:r>
      <w:r w:rsidR="001D5144" w:rsidRPr="00996E3C">
        <w:rPr>
          <w:rFonts w:cstheme="minorHAnsi"/>
          <w:sz w:val="22"/>
          <w:szCs w:val="22"/>
        </w:rPr>
        <w:t>, and</w:t>
      </w:r>
      <w:r w:rsidR="007744D2" w:rsidRPr="00996E3C">
        <w:rPr>
          <w:rFonts w:cstheme="minorHAnsi"/>
          <w:sz w:val="22"/>
          <w:szCs w:val="22"/>
        </w:rPr>
        <w:t xml:space="preserve"> efforts to ensure D-SNP quality stands alone. </w:t>
      </w:r>
    </w:p>
    <w:p w14:paraId="1D1DF33A" w14:textId="77777777" w:rsidR="007744D2" w:rsidRPr="00996E3C" w:rsidRDefault="007744D2" w:rsidP="001D5144">
      <w:pPr>
        <w:rPr>
          <w:rFonts w:cstheme="minorHAnsi"/>
          <w:i/>
          <w:iCs/>
          <w:sz w:val="22"/>
          <w:szCs w:val="22"/>
        </w:rPr>
      </w:pPr>
    </w:p>
    <w:p w14:paraId="7ABBF575" w14:textId="6893DCAC" w:rsidR="00613AC4" w:rsidRPr="00996E3C" w:rsidRDefault="001D5144" w:rsidP="005D0BB7">
      <w:pPr>
        <w:rPr>
          <w:rFonts w:cstheme="minorHAnsi"/>
          <w:sz w:val="22"/>
          <w:szCs w:val="22"/>
        </w:rPr>
      </w:pPr>
      <w:r w:rsidRPr="00996E3C">
        <w:rPr>
          <w:rFonts w:cstheme="minorHAnsi"/>
          <w:sz w:val="22"/>
          <w:szCs w:val="22"/>
        </w:rPr>
        <w:t xml:space="preserve">LeadingAge has </w:t>
      </w:r>
      <w:r w:rsidR="00FB09E9">
        <w:rPr>
          <w:rFonts w:cstheme="minorHAnsi"/>
          <w:sz w:val="22"/>
          <w:szCs w:val="22"/>
        </w:rPr>
        <w:t xml:space="preserve">long advocated for </w:t>
      </w:r>
      <w:r w:rsidR="00B45A35">
        <w:rPr>
          <w:rFonts w:cstheme="minorHAnsi"/>
          <w:sz w:val="22"/>
          <w:szCs w:val="22"/>
        </w:rPr>
        <w:t xml:space="preserve">an integrated approach to care and services delivery for </w:t>
      </w:r>
      <w:r w:rsidRPr="00996E3C">
        <w:rPr>
          <w:rFonts w:cstheme="minorHAnsi"/>
          <w:sz w:val="22"/>
          <w:szCs w:val="22"/>
        </w:rPr>
        <w:t>older adults</w:t>
      </w:r>
      <w:r w:rsidR="00B45A35">
        <w:rPr>
          <w:rFonts w:cstheme="minorHAnsi"/>
          <w:sz w:val="22"/>
          <w:szCs w:val="22"/>
        </w:rPr>
        <w:t xml:space="preserve">, dual eligible and those with chronic conditions. We see </w:t>
      </w:r>
      <w:r w:rsidRPr="00996E3C">
        <w:rPr>
          <w:rFonts w:cstheme="minorHAnsi"/>
          <w:sz w:val="22"/>
          <w:szCs w:val="22"/>
        </w:rPr>
        <w:t xml:space="preserve">the potential </w:t>
      </w:r>
      <w:r w:rsidR="007F0738" w:rsidRPr="00996E3C">
        <w:rPr>
          <w:rFonts w:cstheme="minorHAnsi"/>
          <w:sz w:val="22"/>
          <w:szCs w:val="22"/>
        </w:rPr>
        <w:t xml:space="preserve">that </w:t>
      </w:r>
      <w:r w:rsidRPr="00996E3C">
        <w:rPr>
          <w:rFonts w:cstheme="minorHAnsi"/>
          <w:sz w:val="22"/>
          <w:szCs w:val="22"/>
        </w:rPr>
        <w:t>true integration</w:t>
      </w:r>
      <w:r w:rsidR="007F0738" w:rsidRPr="00996E3C">
        <w:rPr>
          <w:rFonts w:cstheme="minorHAnsi"/>
          <w:sz w:val="22"/>
          <w:szCs w:val="22"/>
        </w:rPr>
        <w:t>--</w:t>
      </w:r>
      <w:r w:rsidRPr="00996E3C">
        <w:rPr>
          <w:rFonts w:cstheme="minorHAnsi"/>
          <w:sz w:val="22"/>
          <w:szCs w:val="22"/>
        </w:rPr>
        <w:t xml:space="preserve"> both administrative and clinical</w:t>
      </w:r>
      <w:r w:rsidR="00F35207">
        <w:rPr>
          <w:rFonts w:cstheme="minorHAnsi"/>
          <w:sz w:val="22"/>
          <w:szCs w:val="22"/>
        </w:rPr>
        <w:t xml:space="preserve">. </w:t>
      </w:r>
      <w:r w:rsidRPr="00996E3C">
        <w:rPr>
          <w:rFonts w:cstheme="minorHAnsi"/>
          <w:sz w:val="22"/>
          <w:szCs w:val="22"/>
        </w:rPr>
        <w:t xml:space="preserve">Individuals don’t think of their care and service needs as Medicare or Medicaid but </w:t>
      </w:r>
      <w:r w:rsidR="008D653C">
        <w:rPr>
          <w:rFonts w:cstheme="minorHAnsi"/>
          <w:sz w:val="22"/>
          <w:szCs w:val="22"/>
        </w:rPr>
        <w:t xml:space="preserve">instead these are critical needs that </w:t>
      </w:r>
      <w:r w:rsidRPr="00996E3C">
        <w:rPr>
          <w:rFonts w:cstheme="minorHAnsi"/>
          <w:sz w:val="22"/>
          <w:szCs w:val="22"/>
        </w:rPr>
        <w:t>help them remain independent and manage</w:t>
      </w:r>
      <w:r w:rsidR="00E265DF" w:rsidRPr="00996E3C">
        <w:rPr>
          <w:rFonts w:cstheme="minorHAnsi"/>
          <w:sz w:val="22"/>
          <w:szCs w:val="22"/>
        </w:rPr>
        <w:t xml:space="preserve"> </w:t>
      </w:r>
      <w:r w:rsidRPr="00996E3C">
        <w:rPr>
          <w:rFonts w:cstheme="minorHAnsi"/>
          <w:sz w:val="22"/>
          <w:szCs w:val="22"/>
        </w:rPr>
        <w:t xml:space="preserve">their health and daily activities. </w:t>
      </w:r>
      <w:r w:rsidR="00BB586C">
        <w:rPr>
          <w:rFonts w:cstheme="minorHAnsi"/>
          <w:sz w:val="22"/>
          <w:szCs w:val="22"/>
        </w:rPr>
        <w:t xml:space="preserve">We agree a critical first step is that there is geographic alignment between the Medicare services area with </w:t>
      </w:r>
      <w:r w:rsidR="002D5C87">
        <w:rPr>
          <w:rFonts w:cstheme="minorHAnsi"/>
          <w:sz w:val="22"/>
          <w:szCs w:val="22"/>
        </w:rPr>
        <w:t>that</w:t>
      </w:r>
      <w:r w:rsidR="00BB586C">
        <w:rPr>
          <w:rFonts w:cstheme="minorHAnsi"/>
          <w:sz w:val="22"/>
          <w:szCs w:val="22"/>
        </w:rPr>
        <w:t xml:space="preserve"> of the integrated D-SNP</w:t>
      </w:r>
      <w:r w:rsidR="002D5C87">
        <w:rPr>
          <w:rFonts w:cstheme="minorHAnsi"/>
          <w:sz w:val="22"/>
          <w:szCs w:val="22"/>
        </w:rPr>
        <w:t xml:space="preserve">. It is just common sense. We </w:t>
      </w:r>
      <w:r w:rsidR="004C6A63" w:rsidRPr="00996E3C">
        <w:rPr>
          <w:rFonts w:cstheme="minorHAnsi"/>
          <w:sz w:val="22"/>
          <w:szCs w:val="22"/>
        </w:rPr>
        <w:t xml:space="preserve">support and appreciate the new proposed definitions for FIDE and HIDE SNPs as </w:t>
      </w:r>
      <w:r w:rsidR="002D5C87">
        <w:rPr>
          <w:rFonts w:cstheme="minorHAnsi"/>
          <w:sz w:val="22"/>
          <w:szCs w:val="22"/>
        </w:rPr>
        <w:t>this</w:t>
      </w:r>
      <w:r w:rsidR="004C6A63" w:rsidRPr="00996E3C">
        <w:rPr>
          <w:rFonts w:cstheme="minorHAnsi"/>
          <w:sz w:val="22"/>
          <w:szCs w:val="22"/>
        </w:rPr>
        <w:t xml:space="preserve"> creates </w:t>
      </w:r>
      <w:r w:rsidR="006A50C4">
        <w:rPr>
          <w:rFonts w:cstheme="minorHAnsi"/>
          <w:sz w:val="22"/>
          <w:szCs w:val="22"/>
        </w:rPr>
        <w:t xml:space="preserve">a </w:t>
      </w:r>
      <w:r w:rsidR="004C6A63" w:rsidRPr="00996E3C">
        <w:rPr>
          <w:rFonts w:cstheme="minorHAnsi"/>
          <w:sz w:val="22"/>
          <w:szCs w:val="22"/>
        </w:rPr>
        <w:t xml:space="preserve">greater and </w:t>
      </w:r>
      <w:r w:rsidR="006A50C4">
        <w:rPr>
          <w:rFonts w:cstheme="minorHAnsi"/>
          <w:sz w:val="22"/>
          <w:szCs w:val="22"/>
        </w:rPr>
        <w:t xml:space="preserve">more </w:t>
      </w:r>
      <w:r w:rsidR="004C6A63" w:rsidRPr="00996E3C">
        <w:rPr>
          <w:rFonts w:cstheme="minorHAnsi"/>
          <w:sz w:val="22"/>
          <w:szCs w:val="22"/>
        </w:rPr>
        <w:t xml:space="preserve">understandable distinction between the two types of integration by establishing that FIDE SNPs </w:t>
      </w:r>
      <w:r w:rsidR="00D70D0E">
        <w:rPr>
          <w:rFonts w:cstheme="minorHAnsi"/>
          <w:sz w:val="22"/>
          <w:szCs w:val="22"/>
        </w:rPr>
        <w:t>must</w:t>
      </w:r>
      <w:r w:rsidR="004C6A63" w:rsidRPr="00996E3C">
        <w:rPr>
          <w:rFonts w:cstheme="minorHAnsi"/>
          <w:sz w:val="22"/>
          <w:szCs w:val="22"/>
        </w:rPr>
        <w:t xml:space="preserve">: </w:t>
      </w:r>
      <w:r w:rsidR="003D6E28">
        <w:rPr>
          <w:rFonts w:cstheme="minorHAnsi"/>
          <w:sz w:val="22"/>
          <w:szCs w:val="22"/>
        </w:rPr>
        <w:t xml:space="preserve">1) </w:t>
      </w:r>
      <w:r w:rsidR="00D70D0E">
        <w:rPr>
          <w:rFonts w:cstheme="minorHAnsi"/>
          <w:sz w:val="22"/>
          <w:szCs w:val="22"/>
        </w:rPr>
        <w:t xml:space="preserve">include </w:t>
      </w:r>
      <w:r w:rsidR="004C6A63" w:rsidRPr="00996E3C">
        <w:rPr>
          <w:rFonts w:cstheme="minorHAnsi"/>
          <w:sz w:val="22"/>
          <w:szCs w:val="22"/>
        </w:rPr>
        <w:t>a full range of Medicaid covered services by requiring behavioral health, home health and durable medical equipment to be part of the required services beginning in 2025</w:t>
      </w:r>
      <w:r w:rsidR="003D6E28">
        <w:rPr>
          <w:rFonts w:cstheme="minorHAnsi"/>
          <w:sz w:val="22"/>
          <w:szCs w:val="22"/>
        </w:rPr>
        <w:t>; 2)</w:t>
      </w:r>
      <w:r w:rsidR="00D70D0E">
        <w:rPr>
          <w:rFonts w:cstheme="minorHAnsi"/>
          <w:sz w:val="22"/>
          <w:szCs w:val="22"/>
        </w:rPr>
        <w:t xml:space="preserve"> cover</w:t>
      </w:r>
      <w:r w:rsidR="003D6E28">
        <w:rPr>
          <w:rFonts w:cstheme="minorHAnsi"/>
          <w:sz w:val="22"/>
          <w:szCs w:val="22"/>
        </w:rPr>
        <w:t xml:space="preserve"> </w:t>
      </w:r>
      <w:r w:rsidR="003D6E28" w:rsidRPr="00996E3C">
        <w:rPr>
          <w:rFonts w:cstheme="minorHAnsi"/>
          <w:sz w:val="22"/>
          <w:szCs w:val="22"/>
        </w:rPr>
        <w:t xml:space="preserve">Medicare cost sharing </w:t>
      </w:r>
      <w:r w:rsidR="00D70D0E">
        <w:rPr>
          <w:rFonts w:cstheme="minorHAnsi"/>
          <w:sz w:val="22"/>
          <w:szCs w:val="22"/>
        </w:rPr>
        <w:t>as part of</w:t>
      </w:r>
      <w:r w:rsidR="003D6E28" w:rsidRPr="00996E3C">
        <w:rPr>
          <w:rFonts w:cstheme="minorHAnsi"/>
          <w:sz w:val="22"/>
          <w:szCs w:val="22"/>
        </w:rPr>
        <w:t xml:space="preserve"> their Medicaid contracts</w:t>
      </w:r>
      <w:r w:rsidR="00CB500F">
        <w:rPr>
          <w:rFonts w:cstheme="minorHAnsi"/>
          <w:sz w:val="22"/>
          <w:szCs w:val="22"/>
        </w:rPr>
        <w:t>;</w:t>
      </w:r>
      <w:r w:rsidR="003D6E28" w:rsidRPr="00996E3C">
        <w:rPr>
          <w:rFonts w:cstheme="minorHAnsi"/>
          <w:sz w:val="22"/>
          <w:szCs w:val="22"/>
        </w:rPr>
        <w:t xml:space="preserve"> </w:t>
      </w:r>
      <w:r w:rsidR="004C6A63" w:rsidRPr="00996E3C">
        <w:rPr>
          <w:rFonts w:cstheme="minorHAnsi"/>
          <w:sz w:val="22"/>
          <w:szCs w:val="22"/>
        </w:rPr>
        <w:t xml:space="preserve"> </w:t>
      </w:r>
      <w:r w:rsidR="00D70D0E">
        <w:rPr>
          <w:rFonts w:cstheme="minorHAnsi"/>
          <w:sz w:val="22"/>
          <w:szCs w:val="22"/>
        </w:rPr>
        <w:t xml:space="preserve">3) </w:t>
      </w:r>
      <w:r w:rsidR="004C6A63" w:rsidRPr="00996E3C">
        <w:rPr>
          <w:rFonts w:cstheme="minorHAnsi"/>
          <w:sz w:val="22"/>
          <w:szCs w:val="22"/>
        </w:rPr>
        <w:t>must have exclusively aligned enrollment</w:t>
      </w:r>
      <w:r w:rsidR="00CB500F">
        <w:rPr>
          <w:rFonts w:cstheme="minorHAnsi"/>
          <w:sz w:val="22"/>
          <w:szCs w:val="22"/>
        </w:rPr>
        <w:t xml:space="preserve">; and </w:t>
      </w:r>
      <w:r w:rsidR="001E3A79">
        <w:rPr>
          <w:rFonts w:cstheme="minorHAnsi"/>
          <w:sz w:val="22"/>
          <w:szCs w:val="22"/>
        </w:rPr>
        <w:t xml:space="preserve">be </w:t>
      </w:r>
      <w:proofErr w:type="spellStart"/>
      <w:r w:rsidR="001E3A79">
        <w:rPr>
          <w:rFonts w:cstheme="minorHAnsi"/>
          <w:sz w:val="22"/>
          <w:szCs w:val="22"/>
        </w:rPr>
        <w:t>soley</w:t>
      </w:r>
      <w:proofErr w:type="spellEnd"/>
      <w:r w:rsidR="001E3A79">
        <w:rPr>
          <w:rFonts w:cstheme="minorHAnsi"/>
          <w:sz w:val="22"/>
          <w:szCs w:val="22"/>
        </w:rPr>
        <w:t xml:space="preserve"> for full-benefit duals</w:t>
      </w:r>
      <w:r w:rsidR="004C6A63" w:rsidRPr="00996E3C">
        <w:rPr>
          <w:rFonts w:cstheme="minorHAnsi"/>
          <w:sz w:val="22"/>
          <w:szCs w:val="22"/>
        </w:rPr>
        <w:t xml:space="preserve">. It was never clear to us how a plan could be </w:t>
      </w:r>
      <w:proofErr w:type="gramStart"/>
      <w:r w:rsidR="004C6A63" w:rsidRPr="00996E3C">
        <w:rPr>
          <w:rFonts w:cstheme="minorHAnsi"/>
          <w:sz w:val="22"/>
          <w:szCs w:val="22"/>
        </w:rPr>
        <w:t>fully-integrated</w:t>
      </w:r>
      <w:proofErr w:type="gramEnd"/>
      <w:r w:rsidR="004C6A63" w:rsidRPr="00996E3C">
        <w:rPr>
          <w:rFonts w:cstheme="minorHAnsi"/>
          <w:sz w:val="22"/>
          <w:szCs w:val="22"/>
        </w:rPr>
        <w:t xml:space="preserve"> if it didn’t have exclusively aligned enrollment. </w:t>
      </w:r>
      <w:r w:rsidR="00E16469" w:rsidRPr="00996E3C">
        <w:rPr>
          <w:rFonts w:cstheme="minorHAnsi"/>
          <w:sz w:val="22"/>
          <w:szCs w:val="22"/>
        </w:rPr>
        <w:t xml:space="preserve"> </w:t>
      </w:r>
      <w:r w:rsidR="00DE2900">
        <w:rPr>
          <w:rFonts w:cstheme="minorHAnsi"/>
          <w:sz w:val="22"/>
          <w:szCs w:val="22"/>
        </w:rPr>
        <w:t>We also support that for current plans unable to achieve this level of integration that there is still a HIDE SNP</w:t>
      </w:r>
      <w:r w:rsidR="007B2511">
        <w:rPr>
          <w:rFonts w:cstheme="minorHAnsi"/>
          <w:sz w:val="22"/>
          <w:szCs w:val="22"/>
        </w:rPr>
        <w:t xml:space="preserve"> </w:t>
      </w:r>
      <w:r w:rsidR="008F28DA">
        <w:rPr>
          <w:rFonts w:cstheme="minorHAnsi"/>
          <w:sz w:val="22"/>
          <w:szCs w:val="22"/>
        </w:rPr>
        <w:t>option</w:t>
      </w:r>
      <w:r w:rsidR="00075E60">
        <w:rPr>
          <w:rFonts w:cstheme="minorHAnsi"/>
          <w:sz w:val="22"/>
          <w:szCs w:val="22"/>
        </w:rPr>
        <w:t>. Although ultimately, we think beneficiaries would do better in a FIDE model</w:t>
      </w:r>
      <w:r w:rsidR="006A4FDA">
        <w:rPr>
          <w:rFonts w:cstheme="minorHAnsi"/>
          <w:sz w:val="22"/>
          <w:szCs w:val="22"/>
        </w:rPr>
        <w:t xml:space="preserve"> where a single organization is responsible for both the Medicare and the Medicaid benefit</w:t>
      </w:r>
      <w:r w:rsidR="00CA76FA">
        <w:rPr>
          <w:rFonts w:cstheme="minorHAnsi"/>
          <w:sz w:val="22"/>
          <w:szCs w:val="22"/>
        </w:rPr>
        <w:t>, and capitates for all LTSS and behavioral health services</w:t>
      </w:r>
      <w:r w:rsidR="000715A5">
        <w:rPr>
          <w:rFonts w:cstheme="minorHAnsi"/>
          <w:sz w:val="22"/>
          <w:szCs w:val="22"/>
        </w:rPr>
        <w:t>, and cost sharing</w:t>
      </w:r>
      <w:r w:rsidR="004864E8">
        <w:rPr>
          <w:rFonts w:cstheme="minorHAnsi"/>
          <w:sz w:val="22"/>
          <w:szCs w:val="22"/>
        </w:rPr>
        <w:t xml:space="preserve">. </w:t>
      </w:r>
      <w:r w:rsidR="004C6A63" w:rsidRPr="00996E3C">
        <w:rPr>
          <w:rFonts w:cstheme="minorHAnsi"/>
          <w:sz w:val="22"/>
          <w:szCs w:val="22"/>
        </w:rPr>
        <w:t xml:space="preserve">From a provider perspective, </w:t>
      </w:r>
      <w:r w:rsidR="0039739A">
        <w:rPr>
          <w:rFonts w:cstheme="minorHAnsi"/>
          <w:sz w:val="22"/>
          <w:szCs w:val="22"/>
        </w:rPr>
        <w:t xml:space="preserve">there will likely be a lower administrative burden when contracting with FIDE SNPs given the ability to submit a single claim for a dual eligible for all of their services and cost sharing. </w:t>
      </w:r>
      <w:r w:rsidR="004C6A63" w:rsidRPr="00996E3C">
        <w:rPr>
          <w:rFonts w:cstheme="minorHAnsi"/>
          <w:sz w:val="22"/>
          <w:szCs w:val="22"/>
        </w:rPr>
        <w:t xml:space="preserve"> </w:t>
      </w:r>
      <w:r w:rsidR="00DB3694" w:rsidRPr="00996E3C">
        <w:rPr>
          <w:rFonts w:cstheme="minorHAnsi"/>
          <w:sz w:val="22"/>
          <w:szCs w:val="22"/>
        </w:rPr>
        <w:t xml:space="preserve">From a beneficiary perspective, </w:t>
      </w:r>
      <w:r w:rsidR="00891D2C" w:rsidRPr="00996E3C">
        <w:rPr>
          <w:rFonts w:cstheme="minorHAnsi"/>
          <w:sz w:val="22"/>
          <w:szCs w:val="22"/>
        </w:rPr>
        <w:t xml:space="preserve">these distinctions between FIDE and HIDE </w:t>
      </w:r>
      <w:r w:rsidRPr="00996E3C">
        <w:rPr>
          <w:rFonts w:cstheme="minorHAnsi"/>
          <w:sz w:val="22"/>
          <w:szCs w:val="22"/>
        </w:rPr>
        <w:t xml:space="preserve">make it easier for </w:t>
      </w:r>
      <w:r w:rsidR="00891D2C" w:rsidRPr="00996E3C">
        <w:rPr>
          <w:rFonts w:cstheme="minorHAnsi"/>
          <w:sz w:val="22"/>
          <w:szCs w:val="22"/>
        </w:rPr>
        <w:t>them</w:t>
      </w:r>
      <w:r w:rsidRPr="00996E3C">
        <w:rPr>
          <w:rFonts w:cstheme="minorHAnsi"/>
          <w:sz w:val="22"/>
          <w:szCs w:val="22"/>
        </w:rPr>
        <w:t xml:space="preserve"> to understand the</w:t>
      </w:r>
      <w:r w:rsidR="00891D2C" w:rsidRPr="00996E3C">
        <w:rPr>
          <w:rFonts w:cstheme="minorHAnsi"/>
          <w:sz w:val="22"/>
          <w:szCs w:val="22"/>
        </w:rPr>
        <w:t>ir</w:t>
      </w:r>
      <w:r w:rsidRPr="00996E3C">
        <w:rPr>
          <w:rFonts w:cstheme="minorHAnsi"/>
          <w:sz w:val="22"/>
          <w:szCs w:val="22"/>
        </w:rPr>
        <w:t xml:space="preserve"> Medicare coverage options</w:t>
      </w:r>
      <w:r w:rsidR="00DD2C7D">
        <w:rPr>
          <w:rFonts w:cstheme="minorHAnsi"/>
          <w:sz w:val="22"/>
          <w:szCs w:val="22"/>
        </w:rPr>
        <w:t>.</w:t>
      </w:r>
      <w:r w:rsidRPr="00996E3C">
        <w:rPr>
          <w:rFonts w:cstheme="minorHAnsi"/>
          <w:sz w:val="22"/>
          <w:szCs w:val="22"/>
        </w:rPr>
        <w:t xml:space="preserve"> </w:t>
      </w:r>
    </w:p>
    <w:p w14:paraId="4EF5B4D6" w14:textId="77777777" w:rsidR="00840711" w:rsidRPr="00996E3C" w:rsidRDefault="00840711" w:rsidP="00840711">
      <w:pPr>
        <w:rPr>
          <w:rFonts w:cstheme="minorHAnsi"/>
          <w:sz w:val="22"/>
          <w:szCs w:val="22"/>
        </w:rPr>
      </w:pPr>
    </w:p>
    <w:p w14:paraId="250EC88E" w14:textId="01B24E75" w:rsidR="00E72353" w:rsidRPr="00996E3C" w:rsidRDefault="00840711" w:rsidP="005D0BB7">
      <w:pPr>
        <w:rPr>
          <w:rFonts w:cstheme="minorHAnsi"/>
          <w:sz w:val="22"/>
          <w:szCs w:val="22"/>
        </w:rPr>
      </w:pPr>
      <w:r w:rsidRPr="00C42907">
        <w:rPr>
          <w:rFonts w:cstheme="minorHAnsi"/>
          <w:sz w:val="22"/>
          <w:szCs w:val="22"/>
        </w:rPr>
        <w:t xml:space="preserve">We </w:t>
      </w:r>
      <w:r w:rsidR="00415C95" w:rsidRPr="00C42907">
        <w:rPr>
          <w:rFonts w:cstheme="minorHAnsi"/>
          <w:sz w:val="22"/>
          <w:szCs w:val="22"/>
        </w:rPr>
        <w:t xml:space="preserve">also </w:t>
      </w:r>
      <w:r w:rsidRPr="00C42907">
        <w:rPr>
          <w:rFonts w:cstheme="minorHAnsi"/>
          <w:sz w:val="22"/>
          <w:szCs w:val="22"/>
        </w:rPr>
        <w:t xml:space="preserve">support </w:t>
      </w:r>
      <w:r w:rsidR="004B67B3" w:rsidRPr="00C42907">
        <w:rPr>
          <w:rFonts w:cstheme="minorHAnsi"/>
          <w:sz w:val="22"/>
          <w:szCs w:val="22"/>
        </w:rPr>
        <w:t xml:space="preserve">the proposal to </w:t>
      </w:r>
      <w:r w:rsidRPr="00C42907">
        <w:rPr>
          <w:rFonts w:cstheme="minorHAnsi"/>
          <w:sz w:val="22"/>
          <w:szCs w:val="22"/>
        </w:rPr>
        <w:t>giv</w:t>
      </w:r>
      <w:r w:rsidR="004B67B3" w:rsidRPr="00C42907">
        <w:rPr>
          <w:rFonts w:cstheme="minorHAnsi"/>
          <w:sz w:val="22"/>
          <w:szCs w:val="22"/>
        </w:rPr>
        <w:t>e</w:t>
      </w:r>
      <w:r w:rsidRPr="00C42907">
        <w:rPr>
          <w:rFonts w:cstheme="minorHAnsi"/>
          <w:sz w:val="22"/>
          <w:szCs w:val="22"/>
        </w:rPr>
        <w:t xml:space="preserve"> states the authority to establish contracts with exclusively aligned plans</w:t>
      </w:r>
      <w:r w:rsidR="00C25B05" w:rsidRPr="00C42907">
        <w:rPr>
          <w:rFonts w:cstheme="minorHAnsi"/>
          <w:sz w:val="22"/>
          <w:szCs w:val="22"/>
        </w:rPr>
        <w:t xml:space="preserve"> and limiting those contracts to one or more D-SNPs. We agree that one of the added benefits of this approach is that the </w:t>
      </w:r>
      <w:r w:rsidR="0075087C" w:rsidRPr="00C42907">
        <w:rPr>
          <w:rFonts w:cstheme="minorHAnsi"/>
          <w:sz w:val="22"/>
          <w:szCs w:val="22"/>
        </w:rPr>
        <w:t xml:space="preserve">star ratings </w:t>
      </w:r>
      <w:r w:rsidR="00741445" w:rsidRPr="00C42907">
        <w:rPr>
          <w:rFonts w:cstheme="minorHAnsi"/>
          <w:sz w:val="22"/>
          <w:szCs w:val="22"/>
        </w:rPr>
        <w:t xml:space="preserve">exclusively reflect </w:t>
      </w:r>
      <w:r w:rsidR="0075087C" w:rsidRPr="00C42907">
        <w:rPr>
          <w:rFonts w:cstheme="minorHAnsi"/>
          <w:sz w:val="22"/>
          <w:szCs w:val="22"/>
        </w:rPr>
        <w:t>D-SNP</w:t>
      </w:r>
      <w:r w:rsidR="00741445" w:rsidRPr="00C42907">
        <w:rPr>
          <w:rFonts w:cstheme="minorHAnsi"/>
          <w:sz w:val="22"/>
          <w:szCs w:val="22"/>
        </w:rPr>
        <w:t xml:space="preserve"> performance versus being </w:t>
      </w:r>
      <w:r w:rsidR="0075087C" w:rsidRPr="00C42907">
        <w:rPr>
          <w:rFonts w:cstheme="minorHAnsi"/>
          <w:sz w:val="22"/>
          <w:szCs w:val="22"/>
        </w:rPr>
        <w:t>co-mingled with other products under the same contract</w:t>
      </w:r>
      <w:r w:rsidR="005859CC" w:rsidRPr="00C42907">
        <w:rPr>
          <w:rFonts w:cstheme="minorHAnsi"/>
          <w:sz w:val="22"/>
          <w:szCs w:val="22"/>
        </w:rPr>
        <w:t xml:space="preserve">. </w:t>
      </w:r>
      <w:r w:rsidR="005F537A" w:rsidRPr="00C42907">
        <w:rPr>
          <w:rFonts w:cstheme="minorHAnsi"/>
          <w:sz w:val="22"/>
          <w:szCs w:val="22"/>
        </w:rPr>
        <w:t>Should states adopt this approach</w:t>
      </w:r>
      <w:r w:rsidR="00D62432" w:rsidRPr="00C42907">
        <w:rPr>
          <w:rFonts w:cstheme="minorHAnsi"/>
          <w:sz w:val="22"/>
          <w:szCs w:val="22"/>
        </w:rPr>
        <w:t>, it could provide a glimpse into the quality</w:t>
      </w:r>
      <w:r w:rsidR="008C537D" w:rsidRPr="00C42907">
        <w:rPr>
          <w:rFonts w:cstheme="minorHAnsi"/>
          <w:sz w:val="22"/>
          <w:szCs w:val="22"/>
        </w:rPr>
        <w:t xml:space="preserve"> that duals are receiving from their D-SNP plans and may provide insights into whether we are measuring them on the right outcomes</w:t>
      </w:r>
      <w:r w:rsidR="00AB155A" w:rsidRPr="00C42907">
        <w:rPr>
          <w:rFonts w:cstheme="minorHAnsi"/>
          <w:sz w:val="22"/>
          <w:szCs w:val="22"/>
        </w:rPr>
        <w:t xml:space="preserve"> and whether individual products</w:t>
      </w:r>
      <w:r w:rsidR="004C0747" w:rsidRPr="00C42907">
        <w:rPr>
          <w:rFonts w:cstheme="minorHAnsi"/>
          <w:sz w:val="22"/>
          <w:szCs w:val="22"/>
        </w:rPr>
        <w:t xml:space="preserve">’ quality should be distinctly reported instead of rolled up by contract. </w:t>
      </w:r>
      <w:r w:rsidR="00287F5E" w:rsidRPr="00C42907">
        <w:rPr>
          <w:rFonts w:cstheme="minorHAnsi"/>
          <w:sz w:val="22"/>
          <w:szCs w:val="22"/>
        </w:rPr>
        <w:t xml:space="preserve">Given the unique </w:t>
      </w:r>
      <w:r w:rsidR="00FE2425" w:rsidRPr="00C42907">
        <w:rPr>
          <w:rFonts w:cstheme="minorHAnsi"/>
          <w:sz w:val="22"/>
          <w:szCs w:val="22"/>
        </w:rPr>
        <w:t xml:space="preserve">needs of the dual eligible population, we wonder if further consideration should be given to comparing </w:t>
      </w:r>
      <w:r w:rsidR="007E3BB2" w:rsidRPr="00C42907">
        <w:rPr>
          <w:rFonts w:cstheme="minorHAnsi"/>
          <w:sz w:val="22"/>
          <w:szCs w:val="22"/>
        </w:rPr>
        <w:t xml:space="preserve">D-SNP </w:t>
      </w:r>
      <w:r w:rsidR="00FE2425" w:rsidRPr="00C42907">
        <w:rPr>
          <w:rFonts w:cstheme="minorHAnsi"/>
          <w:sz w:val="22"/>
          <w:szCs w:val="22"/>
        </w:rPr>
        <w:t>performance exclusively to other D-SNPs</w:t>
      </w:r>
      <w:r w:rsidR="008B2EA5" w:rsidRPr="00C42907">
        <w:rPr>
          <w:rFonts w:cstheme="minorHAnsi"/>
          <w:sz w:val="22"/>
          <w:szCs w:val="22"/>
        </w:rPr>
        <w:t xml:space="preserve"> (peer grouping) when assessing star ratings</w:t>
      </w:r>
      <w:r w:rsidR="00B17A45" w:rsidRPr="00C42907">
        <w:rPr>
          <w:rFonts w:cstheme="minorHAnsi"/>
          <w:sz w:val="22"/>
          <w:szCs w:val="22"/>
        </w:rPr>
        <w:t xml:space="preserve"> </w:t>
      </w:r>
      <w:r w:rsidR="008B2EA5" w:rsidRPr="00C42907">
        <w:rPr>
          <w:rFonts w:cstheme="minorHAnsi"/>
          <w:sz w:val="22"/>
          <w:szCs w:val="22"/>
        </w:rPr>
        <w:t>and/</w:t>
      </w:r>
      <w:r w:rsidR="00B17A45" w:rsidRPr="00C42907">
        <w:rPr>
          <w:rFonts w:cstheme="minorHAnsi"/>
          <w:sz w:val="22"/>
          <w:szCs w:val="22"/>
        </w:rPr>
        <w:t xml:space="preserve">or if the quality measures </w:t>
      </w:r>
      <w:r w:rsidR="008B2EA5" w:rsidRPr="00C42907">
        <w:rPr>
          <w:rFonts w:cstheme="minorHAnsi"/>
          <w:sz w:val="22"/>
          <w:szCs w:val="22"/>
        </w:rPr>
        <w:t xml:space="preserve">used currently </w:t>
      </w:r>
      <w:r w:rsidR="00B17A45" w:rsidRPr="00C42907">
        <w:rPr>
          <w:rFonts w:cstheme="minorHAnsi"/>
          <w:sz w:val="22"/>
          <w:szCs w:val="22"/>
        </w:rPr>
        <w:t xml:space="preserve">should be reviewed to </w:t>
      </w:r>
      <w:r w:rsidR="008B2EA5" w:rsidRPr="00C42907">
        <w:rPr>
          <w:rFonts w:cstheme="minorHAnsi"/>
          <w:sz w:val="22"/>
          <w:szCs w:val="22"/>
        </w:rPr>
        <w:t xml:space="preserve">determine their appropriateness </w:t>
      </w:r>
      <w:r w:rsidR="00153802" w:rsidRPr="00C42907">
        <w:rPr>
          <w:rFonts w:cstheme="minorHAnsi"/>
          <w:sz w:val="22"/>
          <w:szCs w:val="22"/>
        </w:rPr>
        <w:t>for a dual population</w:t>
      </w:r>
      <w:r w:rsidR="00366B92" w:rsidRPr="00C42907">
        <w:rPr>
          <w:rFonts w:cstheme="minorHAnsi"/>
          <w:sz w:val="22"/>
          <w:szCs w:val="22"/>
        </w:rPr>
        <w:t xml:space="preserve"> and whether different or additional measures should be considered.</w:t>
      </w:r>
      <w:r w:rsidR="00366B92" w:rsidRPr="00996E3C">
        <w:rPr>
          <w:rFonts w:cstheme="minorHAnsi"/>
          <w:sz w:val="22"/>
          <w:szCs w:val="22"/>
        </w:rPr>
        <w:t xml:space="preserve"> </w:t>
      </w:r>
      <w:r w:rsidR="00153802" w:rsidRPr="00996E3C">
        <w:rPr>
          <w:rFonts w:cstheme="minorHAnsi"/>
          <w:sz w:val="22"/>
          <w:szCs w:val="22"/>
        </w:rPr>
        <w:t xml:space="preserve"> </w:t>
      </w:r>
      <w:r w:rsidR="00BD4542" w:rsidRPr="00996E3C">
        <w:rPr>
          <w:rFonts w:cstheme="minorHAnsi"/>
          <w:sz w:val="22"/>
          <w:szCs w:val="22"/>
        </w:rPr>
        <w:t xml:space="preserve"> </w:t>
      </w:r>
    </w:p>
    <w:p w14:paraId="3F02EAEC" w14:textId="77777777" w:rsidR="00E72353" w:rsidRPr="00996E3C" w:rsidRDefault="00E72353" w:rsidP="003219B2">
      <w:pPr>
        <w:ind w:left="1080"/>
        <w:rPr>
          <w:rFonts w:cstheme="minorHAnsi"/>
          <w:sz w:val="22"/>
          <w:szCs w:val="22"/>
        </w:rPr>
      </w:pPr>
    </w:p>
    <w:p w14:paraId="37349444" w14:textId="398724CB" w:rsidR="0057506F" w:rsidRPr="00996E3C" w:rsidRDefault="00E76B53" w:rsidP="00D64BD8">
      <w:pPr>
        <w:rPr>
          <w:rFonts w:cstheme="minorHAnsi"/>
          <w:sz w:val="22"/>
          <w:szCs w:val="22"/>
        </w:rPr>
      </w:pPr>
      <w:r w:rsidRPr="00996E3C">
        <w:rPr>
          <w:rFonts w:cstheme="minorHAnsi"/>
          <w:sz w:val="22"/>
          <w:szCs w:val="22"/>
        </w:rPr>
        <w:t xml:space="preserve">Finally, on this </w:t>
      </w:r>
      <w:r w:rsidR="00AC6612" w:rsidRPr="00996E3C">
        <w:rPr>
          <w:rFonts w:cstheme="minorHAnsi"/>
          <w:sz w:val="22"/>
          <w:szCs w:val="22"/>
        </w:rPr>
        <w:t xml:space="preserve">section related to new requirements for D-SNPs, we </w:t>
      </w:r>
      <w:r w:rsidR="002E0AFF" w:rsidRPr="00996E3C">
        <w:rPr>
          <w:rFonts w:cstheme="minorHAnsi"/>
          <w:sz w:val="22"/>
          <w:szCs w:val="22"/>
        </w:rPr>
        <w:t>support the addition</w:t>
      </w:r>
      <w:r w:rsidR="00733256" w:rsidRPr="00996E3C">
        <w:rPr>
          <w:rFonts w:cstheme="minorHAnsi"/>
          <w:sz w:val="22"/>
          <w:szCs w:val="22"/>
        </w:rPr>
        <w:t xml:space="preserve"> of an Enrollee Advisory Committee requirement for D-SNPs but </w:t>
      </w:r>
      <w:r w:rsidR="00FB441E" w:rsidRPr="00996E3C">
        <w:rPr>
          <w:rFonts w:cstheme="minorHAnsi"/>
          <w:sz w:val="22"/>
          <w:szCs w:val="22"/>
        </w:rPr>
        <w:t xml:space="preserve">hope that either through </w:t>
      </w:r>
      <w:r w:rsidR="00AE0AEE" w:rsidRPr="00996E3C">
        <w:rPr>
          <w:rFonts w:cstheme="minorHAnsi"/>
          <w:sz w:val="22"/>
          <w:szCs w:val="22"/>
        </w:rPr>
        <w:t>regulation</w:t>
      </w:r>
      <w:r w:rsidR="00FB441E" w:rsidRPr="00996E3C">
        <w:rPr>
          <w:rFonts w:cstheme="minorHAnsi"/>
          <w:sz w:val="22"/>
          <w:szCs w:val="22"/>
        </w:rPr>
        <w:t xml:space="preserve"> or </w:t>
      </w:r>
      <w:r w:rsidR="00F87EA3" w:rsidRPr="00996E3C">
        <w:rPr>
          <w:rFonts w:cstheme="minorHAnsi"/>
          <w:sz w:val="22"/>
          <w:szCs w:val="22"/>
        </w:rPr>
        <w:t>sub-regulatory</w:t>
      </w:r>
      <w:r w:rsidR="00FB441E" w:rsidRPr="00996E3C">
        <w:rPr>
          <w:rFonts w:cstheme="minorHAnsi"/>
          <w:sz w:val="22"/>
          <w:szCs w:val="22"/>
        </w:rPr>
        <w:t xml:space="preserve"> guidance that CMS </w:t>
      </w:r>
      <w:r w:rsidR="00F87F2C" w:rsidRPr="00996E3C">
        <w:rPr>
          <w:rFonts w:cstheme="minorHAnsi"/>
          <w:sz w:val="22"/>
          <w:szCs w:val="22"/>
        </w:rPr>
        <w:t>will</w:t>
      </w:r>
      <w:r w:rsidR="00FB441E" w:rsidRPr="00996E3C">
        <w:rPr>
          <w:rFonts w:cstheme="minorHAnsi"/>
          <w:sz w:val="22"/>
          <w:szCs w:val="22"/>
        </w:rPr>
        <w:t xml:space="preserve"> </w:t>
      </w:r>
      <w:r w:rsidR="00930B75">
        <w:rPr>
          <w:rFonts w:cstheme="minorHAnsi"/>
          <w:sz w:val="22"/>
          <w:szCs w:val="22"/>
        </w:rPr>
        <w:t xml:space="preserve">provide a more specific framework for how D-SNPs can meet this requirement. For example, we think it would be helpful to </w:t>
      </w:r>
      <w:r w:rsidR="00F87EA3" w:rsidRPr="00996E3C">
        <w:rPr>
          <w:rFonts w:cstheme="minorHAnsi"/>
          <w:sz w:val="22"/>
          <w:szCs w:val="22"/>
        </w:rPr>
        <w:t>specify</w:t>
      </w:r>
      <w:r w:rsidR="00FB441E" w:rsidRPr="00996E3C">
        <w:rPr>
          <w:rFonts w:cstheme="minorHAnsi"/>
          <w:sz w:val="22"/>
          <w:szCs w:val="22"/>
        </w:rPr>
        <w:t xml:space="preserve"> a minimum number of participants</w:t>
      </w:r>
      <w:r w:rsidR="00FE2A21" w:rsidRPr="00996E3C">
        <w:rPr>
          <w:rFonts w:cstheme="minorHAnsi"/>
          <w:sz w:val="22"/>
          <w:szCs w:val="22"/>
        </w:rPr>
        <w:t xml:space="preserve"> and meetings of the enrollee advisory </w:t>
      </w:r>
      <w:r w:rsidR="00D45A36" w:rsidRPr="00996E3C">
        <w:rPr>
          <w:rFonts w:cstheme="minorHAnsi"/>
          <w:sz w:val="22"/>
          <w:szCs w:val="22"/>
        </w:rPr>
        <w:t xml:space="preserve">committee to ensure that it is meaningful. </w:t>
      </w:r>
      <w:r w:rsidR="000723A7" w:rsidRPr="00996E3C">
        <w:rPr>
          <w:rFonts w:cstheme="minorHAnsi"/>
          <w:sz w:val="22"/>
          <w:szCs w:val="22"/>
        </w:rPr>
        <w:t xml:space="preserve">We also recommend </w:t>
      </w:r>
      <w:r w:rsidR="000D175D" w:rsidRPr="00996E3C">
        <w:rPr>
          <w:rFonts w:cstheme="minorHAnsi"/>
          <w:sz w:val="22"/>
          <w:szCs w:val="22"/>
        </w:rPr>
        <w:t>CMS</w:t>
      </w:r>
      <w:r w:rsidR="000723A7" w:rsidRPr="00996E3C">
        <w:rPr>
          <w:rFonts w:cstheme="minorHAnsi"/>
          <w:sz w:val="22"/>
          <w:szCs w:val="22"/>
        </w:rPr>
        <w:t xml:space="preserve"> </w:t>
      </w:r>
      <w:r w:rsidR="000D175D" w:rsidRPr="00996E3C">
        <w:rPr>
          <w:rFonts w:cstheme="minorHAnsi"/>
          <w:sz w:val="22"/>
          <w:szCs w:val="22"/>
        </w:rPr>
        <w:t xml:space="preserve">consider other required </w:t>
      </w:r>
      <w:r w:rsidR="00CE3211" w:rsidRPr="00996E3C">
        <w:rPr>
          <w:rFonts w:cstheme="minorHAnsi"/>
          <w:sz w:val="22"/>
          <w:szCs w:val="22"/>
        </w:rPr>
        <w:t xml:space="preserve">feedback </w:t>
      </w:r>
      <w:r w:rsidR="000D175D" w:rsidRPr="00996E3C">
        <w:rPr>
          <w:rFonts w:cstheme="minorHAnsi"/>
          <w:sz w:val="22"/>
          <w:szCs w:val="22"/>
        </w:rPr>
        <w:t xml:space="preserve">mechanisms for enrollee input </w:t>
      </w:r>
      <w:r w:rsidR="00E81DCD" w:rsidRPr="00996E3C">
        <w:rPr>
          <w:rFonts w:cstheme="minorHAnsi"/>
          <w:sz w:val="22"/>
          <w:szCs w:val="22"/>
        </w:rPr>
        <w:t xml:space="preserve">beyond just </w:t>
      </w:r>
      <w:r w:rsidR="003E40E4" w:rsidRPr="00996E3C">
        <w:rPr>
          <w:rFonts w:cstheme="minorHAnsi"/>
          <w:sz w:val="22"/>
          <w:szCs w:val="22"/>
        </w:rPr>
        <w:t>the proposed</w:t>
      </w:r>
      <w:r w:rsidR="00E81DCD" w:rsidRPr="00996E3C">
        <w:rPr>
          <w:rFonts w:cstheme="minorHAnsi"/>
          <w:sz w:val="22"/>
          <w:szCs w:val="22"/>
        </w:rPr>
        <w:t xml:space="preserve"> committee structure</w:t>
      </w:r>
      <w:r w:rsidR="00CE250B" w:rsidRPr="00996E3C">
        <w:rPr>
          <w:rFonts w:cstheme="minorHAnsi"/>
          <w:sz w:val="22"/>
          <w:szCs w:val="22"/>
        </w:rPr>
        <w:t>,</w:t>
      </w:r>
      <w:r w:rsidR="00E81DCD" w:rsidRPr="00996E3C">
        <w:rPr>
          <w:rFonts w:cstheme="minorHAnsi"/>
          <w:sz w:val="22"/>
          <w:szCs w:val="22"/>
        </w:rPr>
        <w:t xml:space="preserve"> which could have a limited number of participants or may not include those who have voiced concerns to</w:t>
      </w:r>
      <w:r w:rsidR="00514E4C" w:rsidRPr="00996E3C">
        <w:rPr>
          <w:rFonts w:cstheme="minorHAnsi"/>
          <w:sz w:val="22"/>
          <w:szCs w:val="22"/>
        </w:rPr>
        <w:t xml:space="preserve"> or about</w:t>
      </w:r>
      <w:r w:rsidR="00E81DCD" w:rsidRPr="00996E3C">
        <w:rPr>
          <w:rFonts w:cstheme="minorHAnsi"/>
          <w:sz w:val="22"/>
          <w:szCs w:val="22"/>
        </w:rPr>
        <w:t xml:space="preserve"> the plan.</w:t>
      </w:r>
      <w:r w:rsidR="00AC696A" w:rsidRPr="00996E3C">
        <w:rPr>
          <w:rFonts w:cstheme="minorHAnsi"/>
          <w:sz w:val="22"/>
          <w:szCs w:val="22"/>
        </w:rPr>
        <w:t xml:space="preserve"> </w:t>
      </w:r>
      <w:r w:rsidR="00CD21A8" w:rsidRPr="00996E3C">
        <w:rPr>
          <w:rFonts w:cstheme="minorHAnsi"/>
          <w:sz w:val="22"/>
          <w:szCs w:val="22"/>
        </w:rPr>
        <w:t>We also encourage CMS to consider whether the</w:t>
      </w:r>
      <w:r w:rsidR="0030372A" w:rsidRPr="00996E3C">
        <w:rPr>
          <w:rFonts w:cstheme="minorHAnsi"/>
          <w:sz w:val="22"/>
          <w:szCs w:val="22"/>
        </w:rPr>
        <w:t xml:space="preserve">re may be additional state and federal policy benefits to compiling the findings </w:t>
      </w:r>
      <w:r w:rsidR="00CD21A8" w:rsidRPr="00996E3C">
        <w:rPr>
          <w:rFonts w:cstheme="minorHAnsi"/>
          <w:sz w:val="22"/>
          <w:szCs w:val="22"/>
        </w:rPr>
        <w:t xml:space="preserve">of these </w:t>
      </w:r>
      <w:r w:rsidR="003106D4" w:rsidRPr="00996E3C">
        <w:rPr>
          <w:rFonts w:cstheme="minorHAnsi"/>
          <w:sz w:val="22"/>
          <w:szCs w:val="22"/>
        </w:rPr>
        <w:t>Enrollee Advisory Committees</w:t>
      </w:r>
      <w:r w:rsidR="0051783C">
        <w:rPr>
          <w:rFonts w:cstheme="minorHAnsi"/>
          <w:sz w:val="22"/>
          <w:szCs w:val="22"/>
        </w:rPr>
        <w:t xml:space="preserve">. </w:t>
      </w:r>
      <w:r w:rsidR="005812CB" w:rsidRPr="00996E3C">
        <w:rPr>
          <w:rFonts w:cstheme="minorHAnsi"/>
          <w:sz w:val="22"/>
          <w:szCs w:val="22"/>
        </w:rPr>
        <w:t xml:space="preserve"> </w:t>
      </w:r>
      <w:r w:rsidR="009B2BBE">
        <w:rPr>
          <w:rFonts w:cstheme="minorHAnsi"/>
          <w:sz w:val="22"/>
          <w:szCs w:val="22"/>
        </w:rPr>
        <w:t>The aggregate information gained from</w:t>
      </w:r>
      <w:r w:rsidR="006F34C3" w:rsidRPr="00996E3C">
        <w:rPr>
          <w:rFonts w:cstheme="minorHAnsi"/>
          <w:sz w:val="22"/>
          <w:szCs w:val="22"/>
        </w:rPr>
        <w:t xml:space="preserve"> </w:t>
      </w:r>
      <w:r w:rsidR="009B2BBE">
        <w:rPr>
          <w:rFonts w:cstheme="minorHAnsi"/>
          <w:sz w:val="22"/>
          <w:szCs w:val="22"/>
        </w:rPr>
        <w:t xml:space="preserve">these committees may be </w:t>
      </w:r>
      <w:r w:rsidR="006F34C3" w:rsidRPr="00996E3C">
        <w:rPr>
          <w:rFonts w:cstheme="minorHAnsi"/>
          <w:sz w:val="22"/>
          <w:szCs w:val="22"/>
        </w:rPr>
        <w:t xml:space="preserve">able to inform </w:t>
      </w:r>
      <w:r w:rsidR="00483AAD" w:rsidRPr="00996E3C">
        <w:rPr>
          <w:rFonts w:cstheme="minorHAnsi"/>
          <w:sz w:val="22"/>
          <w:szCs w:val="22"/>
        </w:rPr>
        <w:t xml:space="preserve">future policy direction at the national level for </w:t>
      </w:r>
      <w:r w:rsidR="009C1208" w:rsidRPr="00996E3C">
        <w:rPr>
          <w:rFonts w:cstheme="minorHAnsi"/>
          <w:sz w:val="22"/>
          <w:szCs w:val="22"/>
        </w:rPr>
        <w:t xml:space="preserve">not only MA and SNPs but also </w:t>
      </w:r>
      <w:r w:rsidR="00F06FD8">
        <w:rPr>
          <w:rFonts w:cstheme="minorHAnsi"/>
          <w:sz w:val="22"/>
          <w:szCs w:val="22"/>
        </w:rPr>
        <w:t xml:space="preserve">for the </w:t>
      </w:r>
      <w:r w:rsidR="00483AAD" w:rsidRPr="00996E3C">
        <w:rPr>
          <w:rFonts w:cstheme="minorHAnsi"/>
          <w:sz w:val="22"/>
          <w:szCs w:val="22"/>
        </w:rPr>
        <w:t>fee-for-service Medicare</w:t>
      </w:r>
      <w:r w:rsidR="00F06FD8">
        <w:rPr>
          <w:rFonts w:cstheme="minorHAnsi"/>
          <w:sz w:val="22"/>
          <w:szCs w:val="22"/>
        </w:rPr>
        <w:t xml:space="preserve"> program</w:t>
      </w:r>
      <w:r w:rsidR="009C1208" w:rsidRPr="00996E3C">
        <w:rPr>
          <w:rFonts w:cstheme="minorHAnsi"/>
          <w:sz w:val="22"/>
          <w:szCs w:val="22"/>
        </w:rPr>
        <w:t xml:space="preserve">. </w:t>
      </w:r>
    </w:p>
    <w:p w14:paraId="2327FD93" w14:textId="77777777" w:rsidR="00F763D2" w:rsidRPr="00996E3C" w:rsidRDefault="00F763D2" w:rsidP="00F763D2">
      <w:pPr>
        <w:rPr>
          <w:rFonts w:cstheme="minorHAnsi"/>
          <w:b/>
          <w:bCs/>
          <w:sz w:val="22"/>
          <w:szCs w:val="22"/>
        </w:rPr>
      </w:pPr>
    </w:p>
    <w:p w14:paraId="74238B47" w14:textId="77777777" w:rsidR="00F57476" w:rsidRDefault="00BC24A4" w:rsidP="00EB33B5">
      <w:pPr>
        <w:rPr>
          <w:rFonts w:cstheme="minorHAnsi"/>
          <w:b/>
          <w:bCs/>
          <w:i/>
          <w:iCs/>
          <w:sz w:val="22"/>
          <w:szCs w:val="22"/>
        </w:rPr>
      </w:pPr>
      <w:r w:rsidRPr="00F57476">
        <w:rPr>
          <w:rFonts w:cstheme="minorHAnsi"/>
          <w:b/>
          <w:bCs/>
          <w:i/>
          <w:iCs/>
          <w:sz w:val="22"/>
          <w:szCs w:val="22"/>
        </w:rPr>
        <w:t xml:space="preserve">Standardizing Housing, Food Insecurity and Transportation question on </w:t>
      </w:r>
      <w:r w:rsidR="00845F32" w:rsidRPr="00F57476">
        <w:rPr>
          <w:rFonts w:cstheme="minorHAnsi"/>
          <w:b/>
          <w:bCs/>
          <w:i/>
          <w:iCs/>
          <w:sz w:val="22"/>
          <w:szCs w:val="22"/>
        </w:rPr>
        <w:t>HRA</w:t>
      </w:r>
    </w:p>
    <w:p w14:paraId="39260CBA" w14:textId="41A2BD9B" w:rsidR="00DF5BCC" w:rsidRPr="00996E3C" w:rsidRDefault="0056761D" w:rsidP="00EB33B5">
      <w:pPr>
        <w:rPr>
          <w:rFonts w:cstheme="minorHAnsi"/>
          <w:sz w:val="22"/>
          <w:szCs w:val="22"/>
        </w:rPr>
      </w:pPr>
      <w:r w:rsidRPr="00996E3C">
        <w:rPr>
          <w:rFonts w:cstheme="minorHAnsi"/>
          <w:sz w:val="22"/>
          <w:szCs w:val="22"/>
        </w:rPr>
        <w:t xml:space="preserve">LeadingAge supports the </w:t>
      </w:r>
      <w:r w:rsidR="00F57476">
        <w:rPr>
          <w:rFonts w:cstheme="minorHAnsi"/>
          <w:sz w:val="22"/>
          <w:szCs w:val="22"/>
        </w:rPr>
        <w:t>inclusion</w:t>
      </w:r>
      <w:r w:rsidRPr="00996E3C">
        <w:rPr>
          <w:rFonts w:cstheme="minorHAnsi"/>
          <w:sz w:val="22"/>
          <w:szCs w:val="22"/>
        </w:rPr>
        <w:t xml:space="preserve"> of one or more social determinants of health</w:t>
      </w:r>
      <w:r w:rsidR="00FF0497">
        <w:rPr>
          <w:rFonts w:cstheme="minorHAnsi"/>
          <w:sz w:val="22"/>
          <w:szCs w:val="22"/>
        </w:rPr>
        <w:t xml:space="preserve"> </w:t>
      </w:r>
      <w:r w:rsidR="000203B1" w:rsidRPr="00996E3C">
        <w:rPr>
          <w:rFonts w:cstheme="minorHAnsi"/>
          <w:sz w:val="22"/>
          <w:szCs w:val="22"/>
        </w:rPr>
        <w:t>(SDOH)</w:t>
      </w:r>
      <w:r w:rsidR="00091D60">
        <w:rPr>
          <w:rFonts w:cstheme="minorHAnsi"/>
          <w:sz w:val="22"/>
          <w:szCs w:val="22"/>
        </w:rPr>
        <w:t xml:space="preserve"> questions</w:t>
      </w:r>
      <w:r w:rsidR="00440E4B" w:rsidRPr="00996E3C">
        <w:rPr>
          <w:rFonts w:cstheme="minorHAnsi"/>
          <w:sz w:val="22"/>
          <w:szCs w:val="22"/>
        </w:rPr>
        <w:t xml:space="preserve"> </w:t>
      </w:r>
      <w:r w:rsidR="0076038B">
        <w:rPr>
          <w:rFonts w:cstheme="minorHAnsi"/>
          <w:sz w:val="22"/>
          <w:szCs w:val="22"/>
        </w:rPr>
        <w:t>on</w:t>
      </w:r>
      <w:r w:rsidR="00440E4B" w:rsidRPr="00996E3C">
        <w:rPr>
          <w:rFonts w:cstheme="minorHAnsi"/>
          <w:sz w:val="22"/>
          <w:szCs w:val="22"/>
        </w:rPr>
        <w:t xml:space="preserve"> housing, </w:t>
      </w:r>
      <w:proofErr w:type="gramStart"/>
      <w:r w:rsidR="00440E4B" w:rsidRPr="00996E3C">
        <w:rPr>
          <w:rFonts w:cstheme="minorHAnsi"/>
          <w:sz w:val="22"/>
          <w:szCs w:val="22"/>
        </w:rPr>
        <w:t>transportation</w:t>
      </w:r>
      <w:proofErr w:type="gramEnd"/>
      <w:r w:rsidR="00440E4B" w:rsidRPr="00996E3C">
        <w:rPr>
          <w:rFonts w:cstheme="minorHAnsi"/>
          <w:sz w:val="22"/>
          <w:szCs w:val="22"/>
        </w:rPr>
        <w:t xml:space="preserve"> and food </w:t>
      </w:r>
      <w:r w:rsidRPr="00996E3C">
        <w:rPr>
          <w:rFonts w:cstheme="minorHAnsi"/>
          <w:sz w:val="22"/>
          <w:szCs w:val="22"/>
        </w:rPr>
        <w:t xml:space="preserve">in </w:t>
      </w:r>
      <w:r w:rsidR="000203B1" w:rsidRPr="00996E3C">
        <w:rPr>
          <w:rFonts w:cstheme="minorHAnsi"/>
          <w:sz w:val="22"/>
          <w:szCs w:val="22"/>
        </w:rPr>
        <w:t>all</w:t>
      </w:r>
      <w:r w:rsidRPr="00996E3C">
        <w:rPr>
          <w:rFonts w:cstheme="minorHAnsi"/>
          <w:sz w:val="22"/>
          <w:szCs w:val="22"/>
        </w:rPr>
        <w:t xml:space="preserve"> SNP</w:t>
      </w:r>
      <w:r w:rsidR="000203B1" w:rsidRPr="00996E3C">
        <w:rPr>
          <w:rFonts w:cstheme="minorHAnsi"/>
          <w:sz w:val="22"/>
          <w:szCs w:val="22"/>
        </w:rPr>
        <w:t>s</w:t>
      </w:r>
      <w:r w:rsidRPr="00996E3C">
        <w:rPr>
          <w:rFonts w:cstheme="minorHAnsi"/>
          <w:sz w:val="22"/>
          <w:szCs w:val="22"/>
        </w:rPr>
        <w:t xml:space="preserve"> </w:t>
      </w:r>
      <w:r w:rsidR="00AA1CF3" w:rsidRPr="00996E3C">
        <w:rPr>
          <w:rFonts w:cstheme="minorHAnsi"/>
          <w:sz w:val="22"/>
          <w:szCs w:val="22"/>
        </w:rPr>
        <w:t xml:space="preserve">health risk </w:t>
      </w:r>
      <w:r w:rsidR="008A09A6" w:rsidRPr="00996E3C">
        <w:rPr>
          <w:rFonts w:cstheme="minorHAnsi"/>
          <w:sz w:val="22"/>
          <w:szCs w:val="22"/>
        </w:rPr>
        <w:t>assessments.</w:t>
      </w:r>
      <w:r w:rsidR="0076038B">
        <w:rPr>
          <w:rFonts w:cstheme="minorHAnsi"/>
          <w:sz w:val="22"/>
          <w:szCs w:val="22"/>
        </w:rPr>
        <w:t xml:space="preserve"> W</w:t>
      </w:r>
      <w:r w:rsidR="00AA1CF3" w:rsidRPr="00996E3C">
        <w:rPr>
          <w:rFonts w:cstheme="minorHAnsi"/>
          <w:sz w:val="22"/>
          <w:szCs w:val="22"/>
        </w:rPr>
        <w:t xml:space="preserve">e believe </w:t>
      </w:r>
      <w:r w:rsidR="0076038B">
        <w:rPr>
          <w:rFonts w:cstheme="minorHAnsi"/>
          <w:sz w:val="22"/>
          <w:szCs w:val="22"/>
        </w:rPr>
        <w:t>their inclusion</w:t>
      </w:r>
      <w:r w:rsidR="00AA1CF3" w:rsidRPr="00996E3C">
        <w:rPr>
          <w:rFonts w:cstheme="minorHAnsi"/>
          <w:sz w:val="22"/>
          <w:szCs w:val="22"/>
        </w:rPr>
        <w:t xml:space="preserve"> will help these core issues to be identified sooner and addressed </w:t>
      </w:r>
      <w:r w:rsidR="00424ABD" w:rsidRPr="00996E3C">
        <w:rPr>
          <w:rFonts w:cstheme="minorHAnsi"/>
          <w:sz w:val="22"/>
          <w:szCs w:val="22"/>
        </w:rPr>
        <w:t>within an individual’s care plan.</w:t>
      </w:r>
      <w:r w:rsidR="00751B01" w:rsidRPr="00996E3C">
        <w:rPr>
          <w:rFonts w:cstheme="minorHAnsi"/>
          <w:sz w:val="22"/>
          <w:szCs w:val="22"/>
        </w:rPr>
        <w:t xml:space="preserve"> </w:t>
      </w:r>
      <w:r w:rsidR="004259EA" w:rsidRPr="00996E3C">
        <w:rPr>
          <w:rFonts w:cstheme="minorHAnsi"/>
          <w:sz w:val="22"/>
          <w:szCs w:val="22"/>
        </w:rPr>
        <w:t>There are benefits to collecting this information</w:t>
      </w:r>
      <w:r w:rsidR="00DF5BCC" w:rsidRPr="00996E3C">
        <w:rPr>
          <w:rFonts w:cstheme="minorHAnsi"/>
          <w:sz w:val="22"/>
          <w:szCs w:val="22"/>
        </w:rPr>
        <w:t xml:space="preserve"> including trending data</w:t>
      </w:r>
      <w:r w:rsidR="000F0279" w:rsidRPr="00996E3C">
        <w:rPr>
          <w:rFonts w:cstheme="minorHAnsi"/>
          <w:sz w:val="22"/>
          <w:szCs w:val="22"/>
        </w:rPr>
        <w:t>,</w:t>
      </w:r>
      <w:r w:rsidR="00DF5BCC" w:rsidRPr="00996E3C">
        <w:rPr>
          <w:rFonts w:cstheme="minorHAnsi"/>
          <w:sz w:val="22"/>
          <w:szCs w:val="22"/>
        </w:rPr>
        <w:t xml:space="preserve"> which is noted in the proposed rule. However, </w:t>
      </w:r>
      <w:r w:rsidR="005311E5" w:rsidRPr="00996E3C">
        <w:rPr>
          <w:rFonts w:cstheme="minorHAnsi"/>
          <w:sz w:val="22"/>
          <w:szCs w:val="22"/>
        </w:rPr>
        <w:t>we suggest CMS consider</w:t>
      </w:r>
      <w:r w:rsidR="00165F29" w:rsidRPr="00996E3C">
        <w:rPr>
          <w:rFonts w:cstheme="minorHAnsi"/>
          <w:sz w:val="22"/>
          <w:szCs w:val="22"/>
        </w:rPr>
        <w:t xml:space="preserve"> further revisions to the MA/SNP regulations </w:t>
      </w:r>
      <w:r w:rsidR="005311E5" w:rsidRPr="00996E3C">
        <w:rPr>
          <w:rFonts w:cstheme="minorHAnsi"/>
          <w:sz w:val="22"/>
          <w:szCs w:val="22"/>
        </w:rPr>
        <w:t xml:space="preserve">to allow plans to use this SDOH data for determining eligibility for </w:t>
      </w:r>
      <w:r w:rsidR="00C16527" w:rsidRPr="00996E3C">
        <w:rPr>
          <w:rFonts w:cstheme="minorHAnsi"/>
          <w:sz w:val="22"/>
          <w:szCs w:val="22"/>
        </w:rPr>
        <w:t>special supplemental benefits for the chronically ill (SSBCI)</w:t>
      </w:r>
      <w:r w:rsidR="00380571" w:rsidRPr="00996E3C">
        <w:rPr>
          <w:rFonts w:cstheme="minorHAnsi"/>
          <w:sz w:val="22"/>
          <w:szCs w:val="22"/>
        </w:rPr>
        <w:t xml:space="preserve"> in their plans’ offerings</w:t>
      </w:r>
      <w:r w:rsidR="00C16527" w:rsidRPr="00996E3C">
        <w:rPr>
          <w:rFonts w:cstheme="minorHAnsi"/>
          <w:sz w:val="22"/>
          <w:szCs w:val="22"/>
        </w:rPr>
        <w:t xml:space="preserve">. </w:t>
      </w:r>
      <w:r w:rsidR="00424ABD" w:rsidRPr="00996E3C">
        <w:rPr>
          <w:rFonts w:cstheme="minorHAnsi"/>
          <w:sz w:val="22"/>
          <w:szCs w:val="22"/>
        </w:rPr>
        <w:t xml:space="preserve"> </w:t>
      </w:r>
    </w:p>
    <w:p w14:paraId="0F561F3B" w14:textId="32FC9058" w:rsidR="00207CEA" w:rsidRPr="00996E3C" w:rsidRDefault="00207CEA" w:rsidP="0015755F">
      <w:pPr>
        <w:pStyle w:val="NormalWeb"/>
        <w:rPr>
          <w:rFonts w:asciiTheme="minorHAnsi" w:hAnsiTheme="minorHAnsi" w:cstheme="minorHAnsi"/>
          <w:sz w:val="22"/>
          <w:szCs w:val="22"/>
        </w:rPr>
      </w:pPr>
      <w:r w:rsidRPr="00996E3C">
        <w:rPr>
          <w:rFonts w:asciiTheme="minorHAnsi" w:hAnsiTheme="minorHAnsi" w:cstheme="minorHAnsi"/>
          <w:sz w:val="22"/>
          <w:szCs w:val="22"/>
        </w:rPr>
        <w:t>In response to the inquiry about whether questions on housing insecurity are relevant for enrollees who reside in congregate housing, we think they are equally important for this population</w:t>
      </w:r>
      <w:r w:rsidR="006113AF">
        <w:rPr>
          <w:rFonts w:asciiTheme="minorHAnsi" w:hAnsiTheme="minorHAnsi" w:cstheme="minorHAnsi"/>
          <w:sz w:val="22"/>
          <w:szCs w:val="22"/>
        </w:rPr>
        <w:t xml:space="preserve"> as they are for those who </w:t>
      </w:r>
      <w:r w:rsidR="008A09A6">
        <w:rPr>
          <w:rFonts w:asciiTheme="minorHAnsi" w:hAnsiTheme="minorHAnsi" w:cstheme="minorHAnsi"/>
          <w:sz w:val="22"/>
          <w:szCs w:val="22"/>
        </w:rPr>
        <w:t>reside</w:t>
      </w:r>
      <w:r w:rsidR="006113AF">
        <w:rPr>
          <w:rFonts w:asciiTheme="minorHAnsi" w:hAnsiTheme="minorHAnsi" w:cstheme="minorHAnsi"/>
          <w:sz w:val="22"/>
          <w:szCs w:val="22"/>
        </w:rPr>
        <w:t xml:space="preserve"> in single-family homes</w:t>
      </w:r>
      <w:r w:rsidRPr="00996E3C">
        <w:rPr>
          <w:rFonts w:asciiTheme="minorHAnsi" w:hAnsiTheme="minorHAnsi" w:cstheme="minorHAnsi"/>
          <w:sz w:val="22"/>
          <w:szCs w:val="22"/>
        </w:rPr>
        <w:t xml:space="preserve">.  While some individuals may benefit from government assistance to help them remain in a congregate living setting, not all do. In fact, many, upon moving into such a setting, may spend down their resources over time threatening their ability to remain. Therefore, we believe it would be helpful to understand if an individual’s current housing arrangements are precarious. Are they running out of resources and if so, by knowing this, </w:t>
      </w:r>
      <w:r w:rsidR="004741F4" w:rsidRPr="00996E3C">
        <w:rPr>
          <w:rFonts w:asciiTheme="minorHAnsi" w:hAnsiTheme="minorHAnsi" w:cstheme="minorHAnsi"/>
          <w:sz w:val="22"/>
          <w:szCs w:val="22"/>
        </w:rPr>
        <w:t xml:space="preserve">could </w:t>
      </w:r>
      <w:r w:rsidRPr="00996E3C">
        <w:rPr>
          <w:rFonts w:asciiTheme="minorHAnsi" w:hAnsiTheme="minorHAnsi" w:cstheme="minorHAnsi"/>
          <w:sz w:val="22"/>
          <w:szCs w:val="22"/>
        </w:rPr>
        <w:t>a plan be developed to connect these individuals to available resources such as applying for Medicaid or other housing assistance to help them continue to age in place</w:t>
      </w:r>
      <w:r w:rsidR="004741F4" w:rsidRPr="00996E3C">
        <w:rPr>
          <w:rFonts w:asciiTheme="minorHAnsi" w:hAnsiTheme="minorHAnsi" w:cstheme="minorHAnsi"/>
          <w:sz w:val="22"/>
          <w:szCs w:val="22"/>
        </w:rPr>
        <w:t>?</w:t>
      </w:r>
      <w:r w:rsidRPr="00996E3C">
        <w:rPr>
          <w:rFonts w:asciiTheme="minorHAnsi" w:hAnsiTheme="minorHAnsi" w:cstheme="minorHAnsi"/>
          <w:sz w:val="22"/>
          <w:szCs w:val="22"/>
        </w:rPr>
        <w:t xml:space="preserve"> Alternatively, if plans understand that someone’s finances are dwindling, they may also be able to connect them with other assistance or resources to slow that spend such as help paying for prescription drugs.</w:t>
      </w:r>
    </w:p>
    <w:p w14:paraId="3D7D5ACD" w14:textId="47FB3A30" w:rsidR="00ED1C87" w:rsidRPr="00996E3C" w:rsidRDefault="003709BE" w:rsidP="0015755F">
      <w:pPr>
        <w:pStyle w:val="NormalWeb"/>
        <w:rPr>
          <w:rFonts w:asciiTheme="minorHAnsi" w:hAnsiTheme="minorHAnsi" w:cstheme="minorHAnsi"/>
          <w:sz w:val="22"/>
          <w:szCs w:val="22"/>
        </w:rPr>
      </w:pPr>
      <w:r w:rsidRPr="00996E3C">
        <w:rPr>
          <w:rFonts w:asciiTheme="minorHAnsi" w:hAnsiTheme="minorHAnsi" w:cstheme="minorHAnsi"/>
          <w:sz w:val="22"/>
          <w:szCs w:val="22"/>
        </w:rPr>
        <w:t xml:space="preserve">We </w:t>
      </w:r>
      <w:r w:rsidR="005F07BF" w:rsidRPr="00996E3C">
        <w:rPr>
          <w:rFonts w:asciiTheme="minorHAnsi" w:hAnsiTheme="minorHAnsi" w:cstheme="minorHAnsi"/>
          <w:sz w:val="22"/>
          <w:szCs w:val="22"/>
        </w:rPr>
        <w:t>think</w:t>
      </w:r>
      <w:r w:rsidRPr="00996E3C">
        <w:rPr>
          <w:rFonts w:asciiTheme="minorHAnsi" w:hAnsiTheme="minorHAnsi" w:cstheme="minorHAnsi"/>
          <w:sz w:val="22"/>
          <w:szCs w:val="22"/>
        </w:rPr>
        <w:t xml:space="preserve"> the </w:t>
      </w:r>
      <w:r w:rsidR="002A784F" w:rsidRPr="00996E3C">
        <w:rPr>
          <w:rFonts w:asciiTheme="minorHAnsi" w:hAnsiTheme="minorHAnsi" w:cstheme="minorHAnsi"/>
          <w:sz w:val="22"/>
          <w:szCs w:val="22"/>
        </w:rPr>
        <w:t xml:space="preserve">example </w:t>
      </w:r>
      <w:r w:rsidRPr="00996E3C">
        <w:rPr>
          <w:rFonts w:asciiTheme="minorHAnsi" w:hAnsiTheme="minorHAnsi" w:cstheme="minorHAnsi"/>
          <w:sz w:val="22"/>
          <w:szCs w:val="22"/>
        </w:rPr>
        <w:t xml:space="preserve">questions </w:t>
      </w:r>
      <w:r w:rsidR="005F07BF" w:rsidRPr="00996E3C">
        <w:rPr>
          <w:rFonts w:asciiTheme="minorHAnsi" w:hAnsiTheme="minorHAnsi" w:cstheme="minorHAnsi"/>
          <w:sz w:val="22"/>
          <w:szCs w:val="22"/>
        </w:rPr>
        <w:t>contained</w:t>
      </w:r>
      <w:r w:rsidRPr="00996E3C">
        <w:rPr>
          <w:rFonts w:asciiTheme="minorHAnsi" w:hAnsiTheme="minorHAnsi" w:cstheme="minorHAnsi"/>
          <w:sz w:val="22"/>
          <w:szCs w:val="22"/>
        </w:rPr>
        <w:t xml:space="preserve"> in the proposed rule </w:t>
      </w:r>
      <w:r w:rsidR="00E370BC" w:rsidRPr="00996E3C">
        <w:rPr>
          <w:rFonts w:asciiTheme="minorHAnsi" w:hAnsiTheme="minorHAnsi" w:cstheme="minorHAnsi"/>
          <w:sz w:val="22"/>
          <w:szCs w:val="22"/>
        </w:rPr>
        <w:t>provide a good starting point for the subsequent sub-regulatory guidance</w:t>
      </w:r>
      <w:r w:rsidR="00E84746" w:rsidRPr="00996E3C">
        <w:rPr>
          <w:rFonts w:asciiTheme="minorHAnsi" w:hAnsiTheme="minorHAnsi" w:cstheme="minorHAnsi"/>
          <w:sz w:val="22"/>
          <w:szCs w:val="22"/>
        </w:rPr>
        <w:t>.</w:t>
      </w:r>
      <w:r w:rsidRPr="00996E3C">
        <w:rPr>
          <w:rFonts w:asciiTheme="minorHAnsi" w:hAnsiTheme="minorHAnsi" w:cstheme="minorHAnsi"/>
          <w:sz w:val="22"/>
          <w:szCs w:val="22"/>
        </w:rPr>
        <w:t xml:space="preserve"> </w:t>
      </w:r>
      <w:r w:rsidR="00573FAC" w:rsidRPr="00996E3C">
        <w:rPr>
          <w:rFonts w:asciiTheme="minorHAnsi" w:hAnsiTheme="minorHAnsi" w:cstheme="minorHAnsi"/>
          <w:sz w:val="22"/>
          <w:szCs w:val="22"/>
        </w:rPr>
        <w:t xml:space="preserve">However, we offer some additional questions for your consideration. </w:t>
      </w:r>
      <w:r w:rsidR="00424ABD" w:rsidRPr="00996E3C">
        <w:rPr>
          <w:rFonts w:asciiTheme="minorHAnsi" w:hAnsiTheme="minorHAnsi" w:cstheme="minorHAnsi"/>
          <w:sz w:val="22"/>
          <w:szCs w:val="22"/>
        </w:rPr>
        <w:t xml:space="preserve">On the subject of housing, </w:t>
      </w:r>
      <w:hyperlink r:id="rId8" w:history="1">
        <w:r w:rsidR="00424ABD" w:rsidRPr="00996E3C">
          <w:rPr>
            <w:rStyle w:val="Hyperlink"/>
            <w:rFonts w:asciiTheme="minorHAnsi" w:hAnsiTheme="minorHAnsi" w:cstheme="minorHAnsi"/>
            <w:sz w:val="22"/>
            <w:szCs w:val="22"/>
          </w:rPr>
          <w:t>research</w:t>
        </w:r>
      </w:hyperlink>
      <w:r w:rsidR="0010336E" w:rsidRPr="00996E3C">
        <w:rPr>
          <w:rFonts w:asciiTheme="minorHAnsi" w:hAnsiTheme="minorHAnsi" w:cstheme="minorHAnsi"/>
          <w:sz w:val="22"/>
          <w:szCs w:val="22"/>
        </w:rPr>
        <w:t xml:space="preserve"> has shown that low income older adults who spend much more than they can afford </w:t>
      </w:r>
      <w:r w:rsidR="00424ABD" w:rsidRPr="00996E3C">
        <w:rPr>
          <w:rFonts w:asciiTheme="minorHAnsi" w:hAnsiTheme="minorHAnsi" w:cstheme="minorHAnsi"/>
          <w:sz w:val="22"/>
          <w:szCs w:val="22"/>
        </w:rPr>
        <w:t>on</w:t>
      </w:r>
      <w:r w:rsidR="0010336E" w:rsidRPr="00996E3C">
        <w:rPr>
          <w:rFonts w:asciiTheme="minorHAnsi" w:hAnsiTheme="minorHAnsi" w:cstheme="minorHAnsi"/>
          <w:sz w:val="22"/>
          <w:szCs w:val="22"/>
        </w:rPr>
        <w:t xml:space="preserve"> housing costs spend much less on health care and food than their </w:t>
      </w:r>
      <w:r w:rsidR="00373E25" w:rsidRPr="00996E3C">
        <w:rPr>
          <w:rFonts w:asciiTheme="minorHAnsi" w:hAnsiTheme="minorHAnsi" w:cstheme="minorHAnsi"/>
          <w:sz w:val="22"/>
          <w:szCs w:val="22"/>
        </w:rPr>
        <w:t xml:space="preserve">peers who are not burdened by their housing costs. </w:t>
      </w:r>
      <w:r w:rsidR="000D0F77" w:rsidRPr="00996E3C">
        <w:rPr>
          <w:rFonts w:asciiTheme="minorHAnsi" w:hAnsiTheme="minorHAnsi" w:cstheme="minorHAnsi"/>
          <w:sz w:val="22"/>
          <w:szCs w:val="22"/>
        </w:rPr>
        <w:t xml:space="preserve">In addition, an inability to freely navigate one’s home can hinder one’s ability to perform activities of daily living and increase </w:t>
      </w:r>
      <w:r w:rsidR="000B26A7" w:rsidRPr="00996E3C">
        <w:rPr>
          <w:rFonts w:asciiTheme="minorHAnsi" w:hAnsiTheme="minorHAnsi" w:cstheme="minorHAnsi"/>
          <w:sz w:val="22"/>
          <w:szCs w:val="22"/>
        </w:rPr>
        <w:t>one’s</w:t>
      </w:r>
      <w:r w:rsidR="000D0F77" w:rsidRPr="00996E3C">
        <w:rPr>
          <w:rFonts w:asciiTheme="minorHAnsi" w:hAnsiTheme="minorHAnsi" w:cstheme="minorHAnsi"/>
          <w:sz w:val="22"/>
          <w:szCs w:val="22"/>
        </w:rPr>
        <w:t xml:space="preserve"> fall risk leading to accessing more costly care and services. </w:t>
      </w:r>
      <w:r w:rsidR="00F96717" w:rsidRPr="00996E3C">
        <w:rPr>
          <w:rFonts w:asciiTheme="minorHAnsi" w:hAnsiTheme="minorHAnsi" w:cstheme="minorHAnsi"/>
          <w:sz w:val="22"/>
          <w:szCs w:val="22"/>
        </w:rPr>
        <w:t>For these reasons, w</w:t>
      </w:r>
      <w:r w:rsidR="00ED1C87" w:rsidRPr="00996E3C">
        <w:rPr>
          <w:rFonts w:asciiTheme="minorHAnsi" w:hAnsiTheme="minorHAnsi" w:cstheme="minorHAnsi"/>
          <w:sz w:val="22"/>
          <w:szCs w:val="22"/>
        </w:rPr>
        <w:t xml:space="preserve">e would </w:t>
      </w:r>
      <w:r w:rsidR="00F96717" w:rsidRPr="00996E3C">
        <w:rPr>
          <w:rFonts w:asciiTheme="minorHAnsi" w:hAnsiTheme="minorHAnsi" w:cstheme="minorHAnsi"/>
          <w:sz w:val="22"/>
          <w:szCs w:val="22"/>
        </w:rPr>
        <w:t>suggest CMS consider</w:t>
      </w:r>
      <w:r w:rsidR="00BE15C0" w:rsidRPr="00996E3C">
        <w:rPr>
          <w:rFonts w:asciiTheme="minorHAnsi" w:hAnsiTheme="minorHAnsi" w:cstheme="minorHAnsi"/>
          <w:sz w:val="22"/>
          <w:szCs w:val="22"/>
        </w:rPr>
        <w:t xml:space="preserve"> </w:t>
      </w:r>
      <w:r w:rsidR="00C031DA" w:rsidRPr="00996E3C">
        <w:rPr>
          <w:rFonts w:asciiTheme="minorHAnsi" w:hAnsiTheme="minorHAnsi" w:cstheme="minorHAnsi"/>
          <w:sz w:val="22"/>
          <w:szCs w:val="22"/>
        </w:rPr>
        <w:t xml:space="preserve">revising its sample </w:t>
      </w:r>
      <w:r w:rsidR="003F66F7" w:rsidRPr="00996E3C">
        <w:rPr>
          <w:rFonts w:asciiTheme="minorHAnsi" w:hAnsiTheme="minorHAnsi" w:cstheme="minorHAnsi"/>
          <w:sz w:val="22"/>
          <w:szCs w:val="22"/>
        </w:rPr>
        <w:t xml:space="preserve">housing </w:t>
      </w:r>
      <w:r w:rsidR="00C031DA" w:rsidRPr="00996E3C">
        <w:rPr>
          <w:rFonts w:asciiTheme="minorHAnsi" w:hAnsiTheme="minorHAnsi" w:cstheme="minorHAnsi"/>
          <w:sz w:val="22"/>
          <w:szCs w:val="22"/>
        </w:rPr>
        <w:t xml:space="preserve">question </w:t>
      </w:r>
      <w:r w:rsidR="00B5727E" w:rsidRPr="00996E3C">
        <w:rPr>
          <w:rFonts w:asciiTheme="minorHAnsi" w:hAnsiTheme="minorHAnsi" w:cstheme="minorHAnsi"/>
          <w:sz w:val="22"/>
          <w:szCs w:val="22"/>
        </w:rPr>
        <w:t xml:space="preserve">to include the following additional or modified </w:t>
      </w:r>
      <w:r w:rsidR="008E2A3A" w:rsidRPr="00996E3C">
        <w:rPr>
          <w:rFonts w:asciiTheme="minorHAnsi" w:hAnsiTheme="minorHAnsi" w:cstheme="minorHAnsi"/>
          <w:sz w:val="22"/>
          <w:szCs w:val="22"/>
        </w:rPr>
        <w:t xml:space="preserve">responses </w:t>
      </w:r>
      <w:r w:rsidR="00BE15C0" w:rsidRPr="00996E3C">
        <w:rPr>
          <w:rFonts w:asciiTheme="minorHAnsi" w:hAnsiTheme="minorHAnsi" w:cstheme="minorHAnsi"/>
          <w:sz w:val="22"/>
          <w:szCs w:val="22"/>
        </w:rPr>
        <w:t>in its sub</w:t>
      </w:r>
      <w:r w:rsidR="009F7456">
        <w:rPr>
          <w:rFonts w:asciiTheme="minorHAnsi" w:hAnsiTheme="minorHAnsi" w:cstheme="minorHAnsi"/>
          <w:sz w:val="22"/>
          <w:szCs w:val="22"/>
        </w:rPr>
        <w:t>-</w:t>
      </w:r>
      <w:r w:rsidR="00BE15C0" w:rsidRPr="00996E3C">
        <w:rPr>
          <w:rFonts w:asciiTheme="minorHAnsi" w:hAnsiTheme="minorHAnsi" w:cstheme="minorHAnsi"/>
          <w:sz w:val="22"/>
          <w:szCs w:val="22"/>
        </w:rPr>
        <w:t>regulatory guidance</w:t>
      </w:r>
      <w:r w:rsidR="0098447B" w:rsidRPr="00996E3C">
        <w:rPr>
          <w:rFonts w:asciiTheme="minorHAnsi" w:hAnsiTheme="minorHAnsi" w:cstheme="minorHAnsi"/>
          <w:sz w:val="22"/>
          <w:szCs w:val="22"/>
        </w:rPr>
        <w:t xml:space="preserve"> as we believe these responses</w:t>
      </w:r>
      <w:r w:rsidR="00F96717" w:rsidRPr="00996E3C">
        <w:rPr>
          <w:rFonts w:asciiTheme="minorHAnsi" w:hAnsiTheme="minorHAnsi" w:cstheme="minorHAnsi"/>
          <w:sz w:val="22"/>
          <w:szCs w:val="22"/>
        </w:rPr>
        <w:t xml:space="preserve"> will elicit more useful information that can </w:t>
      </w:r>
      <w:r w:rsidR="00BE15C0" w:rsidRPr="00996E3C">
        <w:rPr>
          <w:rFonts w:asciiTheme="minorHAnsi" w:hAnsiTheme="minorHAnsi" w:cstheme="minorHAnsi"/>
          <w:sz w:val="22"/>
          <w:szCs w:val="22"/>
        </w:rPr>
        <w:t xml:space="preserve">then </w:t>
      </w:r>
      <w:r w:rsidR="00F96717" w:rsidRPr="00996E3C">
        <w:rPr>
          <w:rFonts w:asciiTheme="minorHAnsi" w:hAnsiTheme="minorHAnsi" w:cstheme="minorHAnsi"/>
          <w:sz w:val="22"/>
          <w:szCs w:val="22"/>
        </w:rPr>
        <w:t>be addressed in an individual care plan</w:t>
      </w:r>
      <w:r w:rsidR="00ED1C87" w:rsidRPr="00996E3C">
        <w:rPr>
          <w:rFonts w:asciiTheme="minorHAnsi" w:hAnsiTheme="minorHAnsi" w:cstheme="minorHAnsi"/>
          <w:sz w:val="22"/>
          <w:szCs w:val="22"/>
        </w:rPr>
        <w:t>:</w:t>
      </w:r>
    </w:p>
    <w:p w14:paraId="18F9848F" w14:textId="1B75B903" w:rsidR="004F2AA7" w:rsidRPr="00996E3C" w:rsidRDefault="004F2AA7" w:rsidP="004F2AA7">
      <w:pPr>
        <w:pStyle w:val="NormalWeb"/>
        <w:ind w:left="360"/>
        <w:rPr>
          <w:rFonts w:asciiTheme="minorHAnsi" w:hAnsiTheme="minorHAnsi" w:cstheme="minorHAnsi"/>
          <w:sz w:val="22"/>
          <w:szCs w:val="22"/>
        </w:rPr>
      </w:pPr>
      <w:r w:rsidRPr="00996E3C">
        <w:rPr>
          <w:rFonts w:asciiTheme="minorHAnsi" w:hAnsiTheme="minorHAnsi" w:cstheme="minorHAnsi"/>
          <w:b/>
          <w:bCs/>
          <w:sz w:val="22"/>
          <w:szCs w:val="22"/>
        </w:rPr>
        <w:t xml:space="preserve">Housing. </w:t>
      </w:r>
      <w:r w:rsidRPr="00996E3C">
        <w:rPr>
          <w:rFonts w:asciiTheme="minorHAnsi" w:hAnsiTheme="minorHAnsi" w:cstheme="minorHAnsi"/>
          <w:sz w:val="22"/>
          <w:szCs w:val="22"/>
        </w:rPr>
        <w:t>What is your living situation today?</w:t>
      </w:r>
    </w:p>
    <w:p w14:paraId="278F3804" w14:textId="4CE80331" w:rsidR="00F96717" w:rsidRPr="00996E3C" w:rsidRDefault="00F96717" w:rsidP="00ED1C87">
      <w:pPr>
        <w:pStyle w:val="NormalWeb"/>
        <w:ind w:left="720"/>
        <w:rPr>
          <w:rFonts w:asciiTheme="minorHAnsi" w:hAnsiTheme="minorHAnsi" w:cstheme="minorHAnsi"/>
          <w:b/>
          <w:bCs/>
          <w:sz w:val="22"/>
          <w:szCs w:val="22"/>
        </w:rPr>
      </w:pPr>
      <w:r w:rsidRPr="00996E3C">
        <w:rPr>
          <w:rFonts w:asciiTheme="minorHAnsi" w:hAnsiTheme="minorHAnsi" w:cstheme="minorHAnsi"/>
          <w:b/>
          <w:bCs/>
          <w:sz w:val="22"/>
          <w:szCs w:val="22"/>
        </w:rPr>
        <w:t xml:space="preserve">Please check all that apply: </w:t>
      </w:r>
    </w:p>
    <w:p w14:paraId="5C92512F" w14:textId="6C00B747" w:rsidR="00F96717" w:rsidRPr="00996E3C" w:rsidRDefault="00F96717" w:rsidP="00F96717">
      <w:pPr>
        <w:pStyle w:val="NormalWeb"/>
        <w:numPr>
          <w:ilvl w:val="0"/>
          <w:numId w:val="2"/>
        </w:numPr>
        <w:rPr>
          <w:rFonts w:asciiTheme="minorHAnsi" w:hAnsiTheme="minorHAnsi" w:cstheme="minorHAnsi"/>
          <w:sz w:val="22"/>
          <w:szCs w:val="22"/>
        </w:rPr>
      </w:pPr>
      <w:r w:rsidRPr="00996E3C">
        <w:rPr>
          <w:rFonts w:asciiTheme="minorHAnsi" w:hAnsiTheme="minorHAnsi" w:cstheme="minorHAnsi"/>
          <w:sz w:val="22"/>
          <w:szCs w:val="22"/>
        </w:rPr>
        <w:t>I have a steady place to live</w:t>
      </w:r>
    </w:p>
    <w:p w14:paraId="32BFB3E8" w14:textId="6C05923C" w:rsidR="00860670" w:rsidRPr="00996E3C" w:rsidRDefault="0096143E" w:rsidP="00F96717">
      <w:pPr>
        <w:pStyle w:val="NormalWeb"/>
        <w:numPr>
          <w:ilvl w:val="0"/>
          <w:numId w:val="2"/>
        </w:numPr>
        <w:rPr>
          <w:rFonts w:asciiTheme="minorHAnsi" w:hAnsiTheme="minorHAnsi" w:cstheme="minorHAnsi"/>
          <w:sz w:val="22"/>
          <w:szCs w:val="22"/>
        </w:rPr>
      </w:pPr>
      <w:r w:rsidRPr="00996E3C">
        <w:rPr>
          <w:rFonts w:asciiTheme="minorHAnsi" w:hAnsiTheme="minorHAnsi" w:cstheme="minorHAnsi"/>
          <w:sz w:val="22"/>
          <w:szCs w:val="22"/>
        </w:rPr>
        <w:t>I pay more than I can afford for my housing</w:t>
      </w:r>
    </w:p>
    <w:p w14:paraId="0CA36AE5" w14:textId="1B16B6F9" w:rsidR="0096143E" w:rsidRPr="00996E3C" w:rsidRDefault="0096143E" w:rsidP="00F96717">
      <w:pPr>
        <w:pStyle w:val="NormalWeb"/>
        <w:numPr>
          <w:ilvl w:val="0"/>
          <w:numId w:val="2"/>
        </w:numPr>
        <w:rPr>
          <w:rFonts w:asciiTheme="minorHAnsi" w:hAnsiTheme="minorHAnsi" w:cstheme="minorHAnsi"/>
          <w:sz w:val="22"/>
          <w:szCs w:val="22"/>
        </w:rPr>
      </w:pPr>
      <w:r w:rsidRPr="00996E3C">
        <w:rPr>
          <w:rFonts w:asciiTheme="minorHAnsi" w:hAnsiTheme="minorHAnsi" w:cstheme="minorHAnsi"/>
          <w:sz w:val="22"/>
          <w:szCs w:val="22"/>
        </w:rPr>
        <w:t>I can move freely around the place where I live</w:t>
      </w:r>
    </w:p>
    <w:p w14:paraId="3F30FAC5" w14:textId="14521885" w:rsidR="0096143E" w:rsidRPr="00996E3C" w:rsidRDefault="0096143E" w:rsidP="00F96717">
      <w:pPr>
        <w:pStyle w:val="NormalWeb"/>
        <w:numPr>
          <w:ilvl w:val="0"/>
          <w:numId w:val="2"/>
        </w:numPr>
        <w:rPr>
          <w:rFonts w:asciiTheme="minorHAnsi" w:hAnsiTheme="minorHAnsi" w:cstheme="minorHAnsi"/>
          <w:sz w:val="22"/>
          <w:szCs w:val="22"/>
        </w:rPr>
      </w:pPr>
      <w:r w:rsidRPr="00996E3C">
        <w:rPr>
          <w:rFonts w:asciiTheme="minorHAnsi" w:hAnsiTheme="minorHAnsi" w:cstheme="minorHAnsi"/>
          <w:sz w:val="22"/>
          <w:szCs w:val="22"/>
        </w:rPr>
        <w:t xml:space="preserve">I do not feel safe in my neighborhood. </w:t>
      </w:r>
    </w:p>
    <w:p w14:paraId="04AC1BC5" w14:textId="592E0AF6" w:rsidR="0096143E" w:rsidRPr="00996E3C" w:rsidRDefault="0096143E" w:rsidP="00F96717">
      <w:pPr>
        <w:pStyle w:val="NormalWeb"/>
        <w:numPr>
          <w:ilvl w:val="0"/>
          <w:numId w:val="2"/>
        </w:numPr>
        <w:rPr>
          <w:rFonts w:asciiTheme="minorHAnsi" w:hAnsiTheme="minorHAnsi" w:cstheme="minorHAnsi"/>
          <w:sz w:val="22"/>
          <w:szCs w:val="22"/>
        </w:rPr>
      </w:pPr>
      <w:r w:rsidRPr="00996E3C">
        <w:rPr>
          <w:rFonts w:asciiTheme="minorHAnsi" w:hAnsiTheme="minorHAnsi" w:cstheme="minorHAnsi"/>
          <w:sz w:val="22"/>
          <w:szCs w:val="22"/>
        </w:rPr>
        <w:t>I have a</w:t>
      </w:r>
      <w:r w:rsidR="007D7C30" w:rsidRPr="00996E3C">
        <w:rPr>
          <w:rFonts w:asciiTheme="minorHAnsi" w:hAnsiTheme="minorHAnsi" w:cstheme="minorHAnsi"/>
          <w:sz w:val="22"/>
          <w:szCs w:val="22"/>
        </w:rPr>
        <w:t xml:space="preserve"> </w:t>
      </w:r>
      <w:r w:rsidRPr="00996E3C">
        <w:rPr>
          <w:rFonts w:asciiTheme="minorHAnsi" w:hAnsiTheme="minorHAnsi" w:cstheme="minorHAnsi"/>
          <w:sz w:val="22"/>
          <w:szCs w:val="22"/>
        </w:rPr>
        <w:t xml:space="preserve">place to live today, but I am worried about </w:t>
      </w:r>
      <w:r w:rsidR="001475D1" w:rsidRPr="00996E3C">
        <w:rPr>
          <w:rFonts w:asciiTheme="minorHAnsi" w:hAnsiTheme="minorHAnsi" w:cstheme="minorHAnsi"/>
          <w:sz w:val="22"/>
          <w:szCs w:val="22"/>
        </w:rPr>
        <w:t>losing</w:t>
      </w:r>
      <w:r w:rsidRPr="00996E3C">
        <w:rPr>
          <w:rFonts w:asciiTheme="minorHAnsi" w:hAnsiTheme="minorHAnsi" w:cstheme="minorHAnsi"/>
          <w:sz w:val="22"/>
          <w:szCs w:val="22"/>
        </w:rPr>
        <w:t xml:space="preserve"> it in the future.</w:t>
      </w:r>
    </w:p>
    <w:p w14:paraId="3C8654B8" w14:textId="07139270" w:rsidR="00ED1C87" w:rsidRPr="00996E3C" w:rsidRDefault="0096143E" w:rsidP="005B2A7F">
      <w:pPr>
        <w:pStyle w:val="NormalWeb"/>
        <w:numPr>
          <w:ilvl w:val="0"/>
          <w:numId w:val="2"/>
        </w:numPr>
        <w:rPr>
          <w:rFonts w:asciiTheme="minorHAnsi" w:hAnsiTheme="minorHAnsi" w:cstheme="minorHAnsi"/>
          <w:sz w:val="22"/>
          <w:szCs w:val="22"/>
        </w:rPr>
      </w:pPr>
      <w:r w:rsidRPr="00996E3C">
        <w:rPr>
          <w:rFonts w:asciiTheme="minorHAnsi" w:hAnsiTheme="minorHAnsi" w:cstheme="minorHAnsi"/>
          <w:sz w:val="22"/>
          <w:szCs w:val="22"/>
        </w:rPr>
        <w:t>I do not have a steady place to live (</w:t>
      </w:r>
      <w:proofErr w:type="gramStart"/>
      <w:r w:rsidRPr="00996E3C">
        <w:rPr>
          <w:rFonts w:asciiTheme="minorHAnsi" w:hAnsiTheme="minorHAnsi" w:cstheme="minorHAnsi"/>
          <w:sz w:val="22"/>
          <w:szCs w:val="22"/>
        </w:rPr>
        <w:t>e.g.</w:t>
      </w:r>
      <w:proofErr w:type="gramEnd"/>
      <w:r w:rsidRPr="00996E3C">
        <w:rPr>
          <w:rFonts w:asciiTheme="minorHAnsi" w:hAnsiTheme="minorHAnsi" w:cstheme="minorHAnsi"/>
          <w:sz w:val="22"/>
          <w:szCs w:val="22"/>
        </w:rPr>
        <w:t xml:space="preserve"> I am temporarily staying with others</w:t>
      </w:r>
      <w:r w:rsidR="005B2A7F" w:rsidRPr="00996E3C">
        <w:rPr>
          <w:rFonts w:asciiTheme="minorHAnsi" w:hAnsiTheme="minorHAnsi" w:cstheme="minorHAnsi"/>
          <w:sz w:val="22"/>
          <w:szCs w:val="22"/>
        </w:rPr>
        <w:t xml:space="preserve">, in a hotel, in a shelter, living outside on the street, on a beach, in a car, abandoned building, bus or train </w:t>
      </w:r>
      <w:r w:rsidR="005B2A7F" w:rsidRPr="00996E3C">
        <w:rPr>
          <w:rFonts w:asciiTheme="minorHAnsi" w:hAnsiTheme="minorHAnsi" w:cstheme="minorHAnsi"/>
          <w:sz w:val="22"/>
          <w:szCs w:val="22"/>
        </w:rPr>
        <w:lastRenderedPageBreak/>
        <w:t>station, or in a park, etc.)</w:t>
      </w:r>
      <w:r w:rsidR="005B2A7F" w:rsidRPr="00996E3C">
        <w:rPr>
          <w:rFonts w:asciiTheme="minorHAnsi" w:hAnsiTheme="minorHAnsi" w:cstheme="minorHAnsi"/>
          <w:sz w:val="22"/>
          <w:szCs w:val="22"/>
        </w:rPr>
        <w:br/>
      </w:r>
    </w:p>
    <w:p w14:paraId="1BE9B241" w14:textId="0123DD22" w:rsidR="00CD5A0F" w:rsidRPr="00996E3C" w:rsidRDefault="001F2C31" w:rsidP="008B41C6">
      <w:pPr>
        <w:pStyle w:val="NormalWeb"/>
        <w:numPr>
          <w:ilvl w:val="0"/>
          <w:numId w:val="2"/>
        </w:numPr>
        <w:rPr>
          <w:rFonts w:asciiTheme="minorHAnsi" w:hAnsiTheme="minorHAnsi" w:cstheme="minorHAnsi"/>
          <w:sz w:val="22"/>
          <w:szCs w:val="22"/>
        </w:rPr>
      </w:pPr>
      <w:r w:rsidRPr="00996E3C">
        <w:rPr>
          <w:rFonts w:asciiTheme="minorHAnsi" w:hAnsiTheme="minorHAnsi" w:cstheme="minorHAnsi"/>
          <w:b/>
          <w:bCs/>
          <w:sz w:val="22"/>
          <w:szCs w:val="22"/>
        </w:rPr>
        <w:t xml:space="preserve">Food. </w:t>
      </w:r>
      <w:r w:rsidR="00D05674" w:rsidRPr="00996E3C">
        <w:rPr>
          <w:rFonts w:asciiTheme="minorHAnsi" w:hAnsiTheme="minorHAnsi" w:cstheme="minorHAnsi"/>
          <w:sz w:val="22"/>
          <w:szCs w:val="22"/>
        </w:rPr>
        <w:t xml:space="preserve">We </w:t>
      </w:r>
      <w:r w:rsidR="008B41C6" w:rsidRPr="00996E3C">
        <w:rPr>
          <w:rFonts w:asciiTheme="minorHAnsi" w:hAnsiTheme="minorHAnsi" w:cstheme="minorHAnsi"/>
          <w:sz w:val="22"/>
          <w:szCs w:val="22"/>
        </w:rPr>
        <w:t xml:space="preserve">support the example questions from the proposed rule but </w:t>
      </w:r>
      <w:r w:rsidR="00D05674" w:rsidRPr="00996E3C">
        <w:rPr>
          <w:rFonts w:asciiTheme="minorHAnsi" w:hAnsiTheme="minorHAnsi" w:cstheme="minorHAnsi"/>
          <w:sz w:val="22"/>
          <w:szCs w:val="22"/>
        </w:rPr>
        <w:t>also offer a few additional</w:t>
      </w:r>
      <w:r w:rsidR="00C00476" w:rsidRPr="00996E3C">
        <w:rPr>
          <w:rFonts w:asciiTheme="minorHAnsi" w:hAnsiTheme="minorHAnsi" w:cstheme="minorHAnsi"/>
          <w:sz w:val="22"/>
          <w:szCs w:val="22"/>
        </w:rPr>
        <w:t xml:space="preserve">, potential questions to consider </w:t>
      </w:r>
      <w:r w:rsidR="006C2432" w:rsidRPr="00996E3C">
        <w:rPr>
          <w:rFonts w:asciiTheme="minorHAnsi" w:hAnsiTheme="minorHAnsi" w:cstheme="minorHAnsi"/>
          <w:sz w:val="22"/>
          <w:szCs w:val="22"/>
        </w:rPr>
        <w:t xml:space="preserve">as part of sub-regulatory guidance </w:t>
      </w:r>
      <w:r w:rsidR="00C00476" w:rsidRPr="00996E3C">
        <w:rPr>
          <w:rFonts w:asciiTheme="minorHAnsi" w:hAnsiTheme="minorHAnsi" w:cstheme="minorHAnsi"/>
          <w:sz w:val="22"/>
          <w:szCs w:val="22"/>
        </w:rPr>
        <w:t>regarding food access</w:t>
      </w:r>
      <w:r w:rsidR="006C2432" w:rsidRPr="00996E3C">
        <w:rPr>
          <w:rFonts w:asciiTheme="minorHAnsi" w:hAnsiTheme="minorHAnsi" w:cstheme="minorHAnsi"/>
          <w:sz w:val="22"/>
          <w:szCs w:val="22"/>
        </w:rPr>
        <w:t>:</w:t>
      </w:r>
    </w:p>
    <w:p w14:paraId="7B4F76C7" w14:textId="04E57CAB" w:rsidR="00CD5A0F" w:rsidRPr="00996E3C" w:rsidRDefault="00F20A36" w:rsidP="00CD5A0F">
      <w:pPr>
        <w:pStyle w:val="NormalWeb"/>
        <w:numPr>
          <w:ilvl w:val="1"/>
          <w:numId w:val="2"/>
        </w:numPr>
        <w:spacing w:before="0" w:beforeAutospacing="0" w:after="0" w:afterAutospacing="0"/>
        <w:rPr>
          <w:rFonts w:asciiTheme="minorHAnsi" w:hAnsiTheme="minorHAnsi" w:cstheme="minorHAnsi"/>
          <w:sz w:val="22"/>
          <w:szCs w:val="22"/>
        </w:rPr>
      </w:pPr>
      <w:r w:rsidRPr="00996E3C">
        <w:rPr>
          <w:rFonts w:asciiTheme="minorHAnsi" w:hAnsiTheme="minorHAnsi" w:cstheme="minorHAnsi"/>
          <w:sz w:val="22"/>
          <w:szCs w:val="22"/>
        </w:rPr>
        <w:t xml:space="preserve">Are you able to leave your home to </w:t>
      </w:r>
      <w:r w:rsidR="0063788C" w:rsidRPr="00996E3C">
        <w:rPr>
          <w:rFonts w:asciiTheme="minorHAnsi" w:hAnsiTheme="minorHAnsi" w:cstheme="minorHAnsi"/>
          <w:sz w:val="22"/>
          <w:szCs w:val="22"/>
        </w:rPr>
        <w:t>shop for food?</w:t>
      </w:r>
    </w:p>
    <w:p w14:paraId="67C918A6" w14:textId="011C8B42" w:rsidR="004E6C13" w:rsidRPr="00996E3C" w:rsidRDefault="004E6C13" w:rsidP="00CD5A0F">
      <w:pPr>
        <w:pStyle w:val="NormalWeb"/>
        <w:numPr>
          <w:ilvl w:val="1"/>
          <w:numId w:val="2"/>
        </w:numPr>
        <w:spacing w:before="0" w:beforeAutospacing="0" w:after="0" w:afterAutospacing="0"/>
        <w:rPr>
          <w:rFonts w:asciiTheme="minorHAnsi" w:hAnsiTheme="minorHAnsi" w:cstheme="minorHAnsi"/>
          <w:sz w:val="22"/>
          <w:szCs w:val="22"/>
        </w:rPr>
      </w:pPr>
      <w:r w:rsidRPr="00996E3C">
        <w:rPr>
          <w:rFonts w:asciiTheme="minorHAnsi" w:hAnsiTheme="minorHAnsi" w:cstheme="minorHAnsi"/>
          <w:sz w:val="22"/>
          <w:szCs w:val="22"/>
        </w:rPr>
        <w:t xml:space="preserve">Do you </w:t>
      </w:r>
      <w:r w:rsidR="00897EA8" w:rsidRPr="00996E3C">
        <w:rPr>
          <w:rFonts w:asciiTheme="minorHAnsi" w:hAnsiTheme="minorHAnsi" w:cstheme="minorHAnsi"/>
          <w:sz w:val="22"/>
          <w:szCs w:val="22"/>
        </w:rPr>
        <w:t xml:space="preserve">consistently experience </w:t>
      </w:r>
      <w:r w:rsidRPr="00996E3C">
        <w:rPr>
          <w:rFonts w:asciiTheme="minorHAnsi" w:hAnsiTheme="minorHAnsi" w:cstheme="minorHAnsi"/>
          <w:sz w:val="22"/>
          <w:szCs w:val="22"/>
        </w:rPr>
        <w:t>any of the following barriers to accessing food?</w:t>
      </w:r>
      <w:r w:rsidR="00897EA8" w:rsidRPr="00996E3C">
        <w:rPr>
          <w:rFonts w:asciiTheme="minorHAnsi" w:hAnsiTheme="minorHAnsi" w:cstheme="minorHAnsi"/>
          <w:sz w:val="22"/>
          <w:szCs w:val="22"/>
        </w:rPr>
        <w:t xml:space="preserve"> (</w:t>
      </w:r>
      <w:proofErr w:type="gramStart"/>
      <w:r w:rsidR="00897EA8" w:rsidRPr="00996E3C">
        <w:rPr>
          <w:rFonts w:asciiTheme="minorHAnsi" w:hAnsiTheme="minorHAnsi" w:cstheme="minorHAnsi"/>
          <w:sz w:val="22"/>
          <w:szCs w:val="22"/>
        </w:rPr>
        <w:t>check</w:t>
      </w:r>
      <w:proofErr w:type="gramEnd"/>
      <w:r w:rsidR="00897EA8" w:rsidRPr="00996E3C">
        <w:rPr>
          <w:rFonts w:asciiTheme="minorHAnsi" w:hAnsiTheme="minorHAnsi" w:cstheme="minorHAnsi"/>
          <w:sz w:val="22"/>
          <w:szCs w:val="22"/>
        </w:rPr>
        <w:t xml:space="preserve"> all that apply)</w:t>
      </w:r>
    </w:p>
    <w:p w14:paraId="5E795900" w14:textId="77777777" w:rsidR="004E6C13" w:rsidRPr="00996E3C" w:rsidRDefault="004E6C13" w:rsidP="00AF20D1">
      <w:pPr>
        <w:pStyle w:val="NormalWeb"/>
        <w:numPr>
          <w:ilvl w:val="2"/>
          <w:numId w:val="7"/>
        </w:numPr>
        <w:spacing w:before="0" w:beforeAutospacing="0" w:after="0" w:afterAutospacing="0"/>
        <w:rPr>
          <w:rFonts w:asciiTheme="minorHAnsi" w:hAnsiTheme="minorHAnsi" w:cstheme="minorHAnsi"/>
          <w:sz w:val="22"/>
          <w:szCs w:val="22"/>
        </w:rPr>
      </w:pPr>
      <w:r w:rsidRPr="00996E3C">
        <w:rPr>
          <w:rFonts w:asciiTheme="minorHAnsi" w:hAnsiTheme="minorHAnsi" w:cstheme="minorHAnsi"/>
          <w:sz w:val="22"/>
          <w:szCs w:val="22"/>
        </w:rPr>
        <w:t xml:space="preserve">No or unreliable </w:t>
      </w:r>
      <w:r w:rsidR="005F4F56" w:rsidRPr="00996E3C">
        <w:rPr>
          <w:rFonts w:asciiTheme="minorHAnsi" w:hAnsiTheme="minorHAnsi" w:cstheme="minorHAnsi"/>
          <w:sz w:val="22"/>
          <w:szCs w:val="22"/>
        </w:rPr>
        <w:t xml:space="preserve">Transportation </w:t>
      </w:r>
    </w:p>
    <w:p w14:paraId="595134E5" w14:textId="77777777" w:rsidR="00B43696" w:rsidRPr="00996E3C" w:rsidRDefault="004E6C13" w:rsidP="00AF20D1">
      <w:pPr>
        <w:pStyle w:val="NormalWeb"/>
        <w:numPr>
          <w:ilvl w:val="2"/>
          <w:numId w:val="7"/>
        </w:numPr>
        <w:spacing w:before="0" w:beforeAutospacing="0" w:after="0" w:afterAutospacing="0"/>
        <w:rPr>
          <w:rFonts w:asciiTheme="minorHAnsi" w:hAnsiTheme="minorHAnsi" w:cstheme="minorHAnsi"/>
          <w:sz w:val="22"/>
          <w:szCs w:val="22"/>
        </w:rPr>
      </w:pPr>
      <w:r w:rsidRPr="00996E3C">
        <w:rPr>
          <w:rFonts w:asciiTheme="minorHAnsi" w:hAnsiTheme="minorHAnsi" w:cstheme="minorHAnsi"/>
          <w:sz w:val="22"/>
          <w:szCs w:val="22"/>
        </w:rPr>
        <w:t>M</w:t>
      </w:r>
      <w:r w:rsidR="00975268" w:rsidRPr="00996E3C">
        <w:rPr>
          <w:rFonts w:asciiTheme="minorHAnsi" w:hAnsiTheme="minorHAnsi" w:cstheme="minorHAnsi"/>
          <w:sz w:val="22"/>
          <w:szCs w:val="22"/>
        </w:rPr>
        <w:t>obility</w:t>
      </w:r>
      <w:r w:rsidRPr="00996E3C">
        <w:rPr>
          <w:rFonts w:asciiTheme="minorHAnsi" w:hAnsiTheme="minorHAnsi" w:cstheme="minorHAnsi"/>
          <w:sz w:val="22"/>
          <w:szCs w:val="22"/>
        </w:rPr>
        <w:t xml:space="preserve"> issues making it difficult to get to a store and/or </w:t>
      </w:r>
      <w:r w:rsidR="00B43696" w:rsidRPr="00996E3C">
        <w:rPr>
          <w:rFonts w:asciiTheme="minorHAnsi" w:hAnsiTheme="minorHAnsi" w:cstheme="minorHAnsi"/>
          <w:sz w:val="22"/>
          <w:szCs w:val="22"/>
        </w:rPr>
        <w:t>navigate a store once there</w:t>
      </w:r>
    </w:p>
    <w:p w14:paraId="71897D56" w14:textId="575D9AA1" w:rsidR="0063788C" w:rsidRPr="00996E3C" w:rsidRDefault="00B43696" w:rsidP="00AF20D1">
      <w:pPr>
        <w:pStyle w:val="NormalWeb"/>
        <w:numPr>
          <w:ilvl w:val="2"/>
          <w:numId w:val="7"/>
        </w:numPr>
        <w:spacing w:before="0" w:beforeAutospacing="0" w:after="0" w:afterAutospacing="0"/>
        <w:rPr>
          <w:rFonts w:asciiTheme="minorHAnsi" w:hAnsiTheme="minorHAnsi" w:cstheme="minorHAnsi"/>
          <w:sz w:val="22"/>
          <w:szCs w:val="22"/>
        </w:rPr>
      </w:pPr>
      <w:r w:rsidRPr="00996E3C">
        <w:rPr>
          <w:rFonts w:asciiTheme="minorHAnsi" w:hAnsiTheme="minorHAnsi" w:cstheme="minorHAnsi"/>
          <w:sz w:val="22"/>
          <w:szCs w:val="22"/>
        </w:rPr>
        <w:t xml:space="preserve">No store near me with </w:t>
      </w:r>
      <w:r w:rsidR="00975268" w:rsidRPr="00996E3C">
        <w:rPr>
          <w:rFonts w:asciiTheme="minorHAnsi" w:hAnsiTheme="minorHAnsi" w:cstheme="minorHAnsi"/>
          <w:sz w:val="22"/>
          <w:szCs w:val="22"/>
        </w:rPr>
        <w:t>healthy food</w:t>
      </w:r>
      <w:r w:rsidRPr="00996E3C">
        <w:rPr>
          <w:rFonts w:asciiTheme="minorHAnsi" w:hAnsiTheme="minorHAnsi" w:cstheme="minorHAnsi"/>
          <w:sz w:val="22"/>
          <w:szCs w:val="22"/>
        </w:rPr>
        <w:t xml:space="preserve"> options (</w:t>
      </w:r>
      <w:proofErr w:type="gramStart"/>
      <w:r w:rsidRPr="00996E3C">
        <w:rPr>
          <w:rFonts w:asciiTheme="minorHAnsi" w:hAnsiTheme="minorHAnsi" w:cstheme="minorHAnsi"/>
          <w:sz w:val="22"/>
          <w:szCs w:val="22"/>
        </w:rPr>
        <w:t>e.g.</w:t>
      </w:r>
      <w:proofErr w:type="gramEnd"/>
      <w:r w:rsidRPr="00996E3C">
        <w:rPr>
          <w:rFonts w:asciiTheme="minorHAnsi" w:hAnsiTheme="minorHAnsi" w:cstheme="minorHAnsi"/>
          <w:sz w:val="22"/>
          <w:szCs w:val="22"/>
        </w:rPr>
        <w:t xml:space="preserve"> fresh produce, meats, dairy, eggs)</w:t>
      </w:r>
    </w:p>
    <w:p w14:paraId="7E1B309D" w14:textId="44EB0CF3" w:rsidR="00976413" w:rsidRPr="00996E3C" w:rsidRDefault="00976413" w:rsidP="00AF20D1">
      <w:pPr>
        <w:pStyle w:val="NormalWeb"/>
        <w:numPr>
          <w:ilvl w:val="2"/>
          <w:numId w:val="7"/>
        </w:numPr>
        <w:spacing w:before="0" w:beforeAutospacing="0" w:after="0" w:afterAutospacing="0"/>
        <w:rPr>
          <w:rFonts w:asciiTheme="minorHAnsi" w:hAnsiTheme="minorHAnsi" w:cstheme="minorHAnsi"/>
          <w:sz w:val="22"/>
          <w:szCs w:val="22"/>
        </w:rPr>
      </w:pPr>
      <w:r w:rsidRPr="00996E3C">
        <w:rPr>
          <w:rFonts w:asciiTheme="minorHAnsi" w:hAnsiTheme="minorHAnsi" w:cstheme="minorHAnsi"/>
          <w:sz w:val="22"/>
          <w:szCs w:val="22"/>
        </w:rPr>
        <w:t>No, I do not have these barriers.</w:t>
      </w:r>
    </w:p>
    <w:p w14:paraId="3F4D9C5D" w14:textId="77777777" w:rsidR="007A072E" w:rsidRDefault="006A5016" w:rsidP="007A072E">
      <w:pPr>
        <w:pStyle w:val="NormalWeb"/>
        <w:numPr>
          <w:ilvl w:val="0"/>
          <w:numId w:val="6"/>
        </w:numPr>
        <w:rPr>
          <w:rFonts w:asciiTheme="minorHAnsi" w:hAnsiTheme="minorHAnsi" w:cstheme="minorHAnsi"/>
          <w:sz w:val="22"/>
          <w:szCs w:val="22"/>
        </w:rPr>
      </w:pPr>
      <w:r w:rsidRPr="00996E3C">
        <w:rPr>
          <w:rFonts w:asciiTheme="minorHAnsi" w:hAnsiTheme="minorHAnsi" w:cstheme="minorHAnsi"/>
          <w:b/>
          <w:bCs/>
          <w:sz w:val="22"/>
          <w:szCs w:val="22"/>
        </w:rPr>
        <w:t>Transportation.</w:t>
      </w:r>
      <w:r w:rsidR="000605CB" w:rsidRPr="00996E3C">
        <w:rPr>
          <w:rFonts w:asciiTheme="minorHAnsi" w:hAnsiTheme="minorHAnsi" w:cstheme="minorHAnsi"/>
          <w:b/>
          <w:bCs/>
          <w:sz w:val="22"/>
          <w:szCs w:val="22"/>
        </w:rPr>
        <w:t xml:space="preserve"> </w:t>
      </w:r>
      <w:r w:rsidR="000605CB" w:rsidRPr="00996E3C">
        <w:rPr>
          <w:rFonts w:asciiTheme="minorHAnsi" w:hAnsiTheme="minorHAnsi" w:cstheme="minorHAnsi"/>
          <w:sz w:val="22"/>
          <w:szCs w:val="22"/>
        </w:rPr>
        <w:t>While we think the e</w:t>
      </w:r>
      <w:r w:rsidR="001E7929" w:rsidRPr="00996E3C">
        <w:rPr>
          <w:rFonts w:asciiTheme="minorHAnsi" w:hAnsiTheme="minorHAnsi" w:cstheme="minorHAnsi"/>
          <w:sz w:val="22"/>
          <w:szCs w:val="22"/>
        </w:rPr>
        <w:t xml:space="preserve">xample transportation question is a good start, we think it might benefit from some further </w:t>
      </w:r>
      <w:r w:rsidR="002B1E4A">
        <w:rPr>
          <w:rFonts w:asciiTheme="minorHAnsi" w:hAnsiTheme="minorHAnsi" w:cstheme="minorHAnsi"/>
          <w:sz w:val="22"/>
          <w:szCs w:val="22"/>
        </w:rPr>
        <w:t>refinement</w:t>
      </w:r>
      <w:r w:rsidR="001434CB" w:rsidRPr="00996E3C">
        <w:rPr>
          <w:rFonts w:asciiTheme="minorHAnsi" w:hAnsiTheme="minorHAnsi" w:cstheme="minorHAnsi"/>
          <w:sz w:val="22"/>
          <w:szCs w:val="22"/>
        </w:rPr>
        <w:t xml:space="preserve">. For example, it would be helpful to understand if the lack of transportation is </w:t>
      </w:r>
      <w:r w:rsidR="005422DA" w:rsidRPr="00996E3C">
        <w:rPr>
          <w:rFonts w:asciiTheme="minorHAnsi" w:hAnsiTheme="minorHAnsi" w:cstheme="minorHAnsi"/>
          <w:sz w:val="22"/>
          <w:szCs w:val="22"/>
        </w:rPr>
        <w:t>persistent</w:t>
      </w:r>
      <w:r w:rsidR="001434CB" w:rsidRPr="00996E3C">
        <w:rPr>
          <w:rFonts w:asciiTheme="minorHAnsi" w:hAnsiTheme="minorHAnsi" w:cstheme="minorHAnsi"/>
          <w:sz w:val="22"/>
          <w:szCs w:val="22"/>
        </w:rPr>
        <w:t xml:space="preserve"> vs. an infrequent occurrence</w:t>
      </w:r>
      <w:r w:rsidR="00C54225" w:rsidRPr="00996E3C">
        <w:rPr>
          <w:rFonts w:asciiTheme="minorHAnsi" w:hAnsiTheme="minorHAnsi" w:cstheme="minorHAnsi"/>
          <w:sz w:val="22"/>
          <w:szCs w:val="22"/>
        </w:rPr>
        <w:t xml:space="preserve"> (</w:t>
      </w:r>
      <w:proofErr w:type="gramStart"/>
      <w:r w:rsidR="00C54225" w:rsidRPr="00996E3C">
        <w:rPr>
          <w:rFonts w:asciiTheme="minorHAnsi" w:hAnsiTheme="minorHAnsi" w:cstheme="minorHAnsi"/>
          <w:sz w:val="22"/>
          <w:szCs w:val="22"/>
        </w:rPr>
        <w:t>e.g.</w:t>
      </w:r>
      <w:proofErr w:type="gramEnd"/>
      <w:r w:rsidR="00C54225" w:rsidRPr="00996E3C">
        <w:rPr>
          <w:rFonts w:asciiTheme="minorHAnsi" w:hAnsiTheme="minorHAnsi" w:cstheme="minorHAnsi"/>
          <w:sz w:val="22"/>
          <w:szCs w:val="22"/>
        </w:rPr>
        <w:t xml:space="preserve"> a family member was ill and couldn’t take them to an appointment). </w:t>
      </w:r>
      <w:r w:rsidR="00231418" w:rsidRPr="00996E3C">
        <w:rPr>
          <w:rFonts w:asciiTheme="minorHAnsi" w:hAnsiTheme="minorHAnsi" w:cstheme="minorHAnsi"/>
          <w:sz w:val="22"/>
          <w:szCs w:val="22"/>
        </w:rPr>
        <w:t xml:space="preserve">It might also be helpful to understand the individual’s main source of transportation </w:t>
      </w:r>
      <w:proofErr w:type="gramStart"/>
      <w:r w:rsidR="00F4458E" w:rsidRPr="00996E3C">
        <w:rPr>
          <w:rFonts w:asciiTheme="minorHAnsi" w:hAnsiTheme="minorHAnsi" w:cstheme="minorHAnsi"/>
          <w:sz w:val="22"/>
          <w:szCs w:val="22"/>
        </w:rPr>
        <w:t>including:</w:t>
      </w:r>
      <w:proofErr w:type="gramEnd"/>
      <w:r w:rsidR="00F4458E" w:rsidRPr="00996E3C">
        <w:rPr>
          <w:rFonts w:asciiTheme="minorHAnsi" w:hAnsiTheme="minorHAnsi" w:cstheme="minorHAnsi"/>
          <w:sz w:val="22"/>
          <w:szCs w:val="22"/>
        </w:rPr>
        <w:t xml:space="preserve"> family/friend/neighbor, public transportation (bus/train/</w:t>
      </w:r>
      <w:proofErr w:type="spellStart"/>
      <w:r w:rsidR="00F4458E" w:rsidRPr="00996E3C">
        <w:rPr>
          <w:rFonts w:asciiTheme="minorHAnsi" w:hAnsiTheme="minorHAnsi" w:cstheme="minorHAnsi"/>
          <w:sz w:val="22"/>
          <w:szCs w:val="22"/>
        </w:rPr>
        <w:t>lightrail</w:t>
      </w:r>
      <w:proofErr w:type="spellEnd"/>
      <w:r w:rsidR="00F4458E" w:rsidRPr="00996E3C">
        <w:rPr>
          <w:rFonts w:asciiTheme="minorHAnsi" w:hAnsiTheme="minorHAnsi" w:cstheme="minorHAnsi"/>
          <w:sz w:val="22"/>
          <w:szCs w:val="22"/>
        </w:rPr>
        <w:t>/metro</w:t>
      </w:r>
      <w:r w:rsidR="00BA1415" w:rsidRPr="00996E3C">
        <w:rPr>
          <w:rFonts w:asciiTheme="minorHAnsi" w:hAnsiTheme="minorHAnsi" w:cstheme="minorHAnsi"/>
          <w:sz w:val="22"/>
          <w:szCs w:val="22"/>
        </w:rPr>
        <w:t>/taxi/uber/</w:t>
      </w:r>
      <w:proofErr w:type="spellStart"/>
      <w:r w:rsidR="00BA1415" w:rsidRPr="00996E3C">
        <w:rPr>
          <w:rFonts w:asciiTheme="minorHAnsi" w:hAnsiTheme="minorHAnsi" w:cstheme="minorHAnsi"/>
          <w:sz w:val="22"/>
          <w:szCs w:val="22"/>
        </w:rPr>
        <w:t>lyft</w:t>
      </w:r>
      <w:proofErr w:type="spellEnd"/>
      <w:r w:rsidR="00F4458E" w:rsidRPr="00996E3C">
        <w:rPr>
          <w:rFonts w:asciiTheme="minorHAnsi" w:hAnsiTheme="minorHAnsi" w:cstheme="minorHAnsi"/>
          <w:sz w:val="22"/>
          <w:szCs w:val="22"/>
        </w:rPr>
        <w:t>)</w:t>
      </w:r>
      <w:r w:rsidR="00A33DAC" w:rsidRPr="00996E3C">
        <w:rPr>
          <w:rFonts w:asciiTheme="minorHAnsi" w:hAnsiTheme="minorHAnsi" w:cstheme="minorHAnsi"/>
          <w:sz w:val="22"/>
          <w:szCs w:val="22"/>
        </w:rPr>
        <w:t>, personal vehicle.</w:t>
      </w:r>
      <w:r w:rsidR="008A325D" w:rsidRPr="00996E3C">
        <w:rPr>
          <w:rFonts w:asciiTheme="minorHAnsi" w:hAnsiTheme="minorHAnsi" w:cstheme="minorHAnsi"/>
          <w:sz w:val="22"/>
          <w:szCs w:val="22"/>
        </w:rPr>
        <w:t xml:space="preserve"> </w:t>
      </w:r>
      <w:r w:rsidR="00A33DAC" w:rsidRPr="00996E3C">
        <w:rPr>
          <w:rFonts w:asciiTheme="minorHAnsi" w:hAnsiTheme="minorHAnsi" w:cstheme="minorHAnsi"/>
          <w:sz w:val="22"/>
          <w:szCs w:val="22"/>
        </w:rPr>
        <w:t xml:space="preserve"> </w:t>
      </w:r>
      <w:r w:rsidR="002D5DB9" w:rsidRPr="00996E3C">
        <w:rPr>
          <w:rFonts w:asciiTheme="minorHAnsi" w:hAnsiTheme="minorHAnsi" w:cstheme="minorHAnsi"/>
          <w:sz w:val="22"/>
          <w:szCs w:val="22"/>
        </w:rPr>
        <w:t xml:space="preserve">The mode of transportation could inform the plan if the person needs a </w:t>
      </w:r>
      <w:r w:rsidR="001C33F2" w:rsidRPr="00996E3C">
        <w:rPr>
          <w:rFonts w:asciiTheme="minorHAnsi" w:hAnsiTheme="minorHAnsi" w:cstheme="minorHAnsi"/>
          <w:sz w:val="22"/>
          <w:szCs w:val="22"/>
        </w:rPr>
        <w:t>provider who is on a bus or metro line</w:t>
      </w:r>
      <w:r w:rsidR="00B67609" w:rsidRPr="00996E3C">
        <w:rPr>
          <w:rFonts w:asciiTheme="minorHAnsi" w:hAnsiTheme="minorHAnsi" w:cstheme="minorHAnsi"/>
          <w:sz w:val="22"/>
          <w:szCs w:val="22"/>
        </w:rPr>
        <w:t>, provide a sense of reliability of the transportation (e.g.</w:t>
      </w:r>
      <w:r w:rsidR="00620015">
        <w:rPr>
          <w:rFonts w:asciiTheme="minorHAnsi" w:hAnsiTheme="minorHAnsi" w:cstheme="minorHAnsi"/>
          <w:sz w:val="22"/>
          <w:szCs w:val="22"/>
        </w:rPr>
        <w:t>,</w:t>
      </w:r>
      <w:r w:rsidR="00B67609" w:rsidRPr="00996E3C">
        <w:rPr>
          <w:rFonts w:asciiTheme="minorHAnsi" w:hAnsiTheme="minorHAnsi" w:cstheme="minorHAnsi"/>
          <w:sz w:val="22"/>
          <w:szCs w:val="22"/>
        </w:rPr>
        <w:t xml:space="preserve"> bus only runs certain hours limiting when person can </w:t>
      </w:r>
      <w:r w:rsidR="002D2C09" w:rsidRPr="00996E3C">
        <w:rPr>
          <w:rFonts w:asciiTheme="minorHAnsi" w:hAnsiTheme="minorHAnsi" w:cstheme="minorHAnsi"/>
          <w:sz w:val="22"/>
          <w:szCs w:val="22"/>
        </w:rPr>
        <w:t xml:space="preserve">access services, etc.) </w:t>
      </w:r>
      <w:r w:rsidR="004D221C" w:rsidRPr="00996E3C">
        <w:rPr>
          <w:rFonts w:asciiTheme="minorHAnsi" w:hAnsiTheme="minorHAnsi" w:cstheme="minorHAnsi"/>
          <w:sz w:val="22"/>
          <w:szCs w:val="22"/>
        </w:rPr>
        <w:t xml:space="preserve">and </w:t>
      </w:r>
      <w:r w:rsidR="00C1467A" w:rsidRPr="00996E3C">
        <w:rPr>
          <w:rFonts w:asciiTheme="minorHAnsi" w:hAnsiTheme="minorHAnsi" w:cstheme="minorHAnsi"/>
          <w:sz w:val="22"/>
          <w:szCs w:val="22"/>
        </w:rPr>
        <w:t xml:space="preserve">if the enrollee or someone else is responsible for getting them </w:t>
      </w:r>
      <w:r w:rsidR="00B67609" w:rsidRPr="00996E3C">
        <w:rPr>
          <w:rFonts w:asciiTheme="minorHAnsi" w:hAnsiTheme="minorHAnsi" w:cstheme="minorHAnsi"/>
          <w:sz w:val="22"/>
          <w:szCs w:val="22"/>
        </w:rPr>
        <w:t>where they need to go</w:t>
      </w:r>
      <w:r w:rsidR="00D13021">
        <w:rPr>
          <w:rFonts w:asciiTheme="minorHAnsi" w:hAnsiTheme="minorHAnsi" w:cstheme="minorHAnsi"/>
          <w:sz w:val="22"/>
          <w:szCs w:val="22"/>
        </w:rPr>
        <w:t>, which could impact their ability to attend medical appointments</w:t>
      </w:r>
      <w:r w:rsidR="001C33F2" w:rsidRPr="00996E3C">
        <w:rPr>
          <w:rFonts w:asciiTheme="minorHAnsi" w:hAnsiTheme="minorHAnsi" w:cstheme="minorHAnsi"/>
          <w:sz w:val="22"/>
          <w:szCs w:val="22"/>
        </w:rPr>
        <w:t xml:space="preserve">. </w:t>
      </w:r>
      <w:r w:rsidR="00A33DAC" w:rsidRPr="00996E3C">
        <w:rPr>
          <w:rFonts w:asciiTheme="minorHAnsi" w:hAnsiTheme="minorHAnsi" w:cstheme="minorHAnsi"/>
          <w:sz w:val="22"/>
          <w:szCs w:val="22"/>
        </w:rPr>
        <w:br/>
      </w:r>
    </w:p>
    <w:p w14:paraId="6B0524EB" w14:textId="6CA23FB6" w:rsidR="00BC12F2" w:rsidRPr="00E57BC5" w:rsidRDefault="002D2C09" w:rsidP="007A072E">
      <w:pPr>
        <w:pStyle w:val="NormalWeb"/>
        <w:rPr>
          <w:rFonts w:asciiTheme="minorHAnsi" w:hAnsiTheme="minorHAnsi" w:cstheme="minorHAnsi"/>
          <w:sz w:val="22"/>
          <w:szCs w:val="22"/>
        </w:rPr>
      </w:pPr>
      <w:r w:rsidRPr="00996E3C">
        <w:rPr>
          <w:rFonts w:asciiTheme="minorHAnsi" w:hAnsiTheme="minorHAnsi" w:cstheme="minorHAnsi"/>
          <w:sz w:val="22"/>
          <w:szCs w:val="22"/>
        </w:rPr>
        <w:t xml:space="preserve">We look forward to the information that these questions will yield and how it can be used to shape </w:t>
      </w:r>
      <w:r w:rsidR="009147B7" w:rsidRPr="00996E3C">
        <w:rPr>
          <w:rFonts w:asciiTheme="minorHAnsi" w:hAnsiTheme="minorHAnsi" w:cstheme="minorHAnsi"/>
          <w:sz w:val="22"/>
          <w:szCs w:val="22"/>
        </w:rPr>
        <w:t xml:space="preserve">future plan benefits and develop strong individualized care and service plans for the enrollee. However, we also believe </w:t>
      </w:r>
      <w:r w:rsidR="009E46BC" w:rsidRPr="00996E3C">
        <w:rPr>
          <w:rFonts w:asciiTheme="minorHAnsi" w:hAnsiTheme="minorHAnsi" w:cstheme="minorHAnsi"/>
          <w:sz w:val="22"/>
          <w:szCs w:val="22"/>
        </w:rPr>
        <w:t xml:space="preserve">it is important that SNPs </w:t>
      </w:r>
      <w:r w:rsidR="009147B7" w:rsidRPr="00996E3C">
        <w:rPr>
          <w:rFonts w:asciiTheme="minorHAnsi" w:hAnsiTheme="minorHAnsi" w:cstheme="minorHAnsi"/>
          <w:sz w:val="22"/>
          <w:szCs w:val="22"/>
        </w:rPr>
        <w:t xml:space="preserve">do more than </w:t>
      </w:r>
      <w:r w:rsidR="007A072E">
        <w:rPr>
          <w:rFonts w:asciiTheme="minorHAnsi" w:hAnsiTheme="minorHAnsi" w:cstheme="minorHAnsi"/>
          <w:sz w:val="22"/>
          <w:szCs w:val="22"/>
        </w:rPr>
        <w:t xml:space="preserve">just </w:t>
      </w:r>
      <w:r w:rsidR="00006C1A" w:rsidRPr="00996E3C">
        <w:rPr>
          <w:rFonts w:asciiTheme="minorHAnsi" w:hAnsiTheme="minorHAnsi" w:cstheme="minorHAnsi"/>
          <w:sz w:val="22"/>
          <w:szCs w:val="22"/>
        </w:rPr>
        <w:t>obtain answers to questions. They should also have a responsibility to use this information</w:t>
      </w:r>
      <w:r w:rsidR="0055227D" w:rsidRPr="00996E3C">
        <w:rPr>
          <w:rFonts w:asciiTheme="minorHAnsi" w:hAnsiTheme="minorHAnsi" w:cstheme="minorHAnsi"/>
          <w:sz w:val="22"/>
          <w:szCs w:val="22"/>
        </w:rPr>
        <w:t xml:space="preserve"> to assist their enrollees in identifying resources to address these unmet SDOH needs. </w:t>
      </w:r>
      <w:r w:rsidR="00006C1A" w:rsidRPr="00996E3C">
        <w:rPr>
          <w:rFonts w:asciiTheme="minorHAnsi" w:hAnsiTheme="minorHAnsi" w:cstheme="minorHAnsi"/>
          <w:sz w:val="22"/>
          <w:szCs w:val="22"/>
        </w:rPr>
        <w:t xml:space="preserve">We are not suggesting </w:t>
      </w:r>
      <w:r w:rsidR="002445D2" w:rsidRPr="00996E3C">
        <w:rPr>
          <w:rFonts w:asciiTheme="minorHAnsi" w:hAnsiTheme="minorHAnsi" w:cstheme="minorHAnsi"/>
          <w:sz w:val="22"/>
          <w:szCs w:val="22"/>
        </w:rPr>
        <w:t xml:space="preserve">that the plan itself must </w:t>
      </w:r>
      <w:r w:rsidR="00EB33B5" w:rsidRPr="00996E3C">
        <w:rPr>
          <w:rFonts w:asciiTheme="minorHAnsi" w:hAnsiTheme="minorHAnsi" w:cstheme="minorHAnsi"/>
          <w:sz w:val="22"/>
          <w:szCs w:val="22"/>
        </w:rPr>
        <w:t>directly deliver</w:t>
      </w:r>
      <w:r w:rsidR="002445D2" w:rsidRPr="00996E3C">
        <w:rPr>
          <w:rFonts w:asciiTheme="minorHAnsi" w:hAnsiTheme="minorHAnsi" w:cstheme="minorHAnsi"/>
          <w:sz w:val="22"/>
          <w:szCs w:val="22"/>
        </w:rPr>
        <w:t xml:space="preserve"> the </w:t>
      </w:r>
      <w:r w:rsidR="00EB33B5" w:rsidRPr="00996E3C">
        <w:rPr>
          <w:rFonts w:asciiTheme="minorHAnsi" w:hAnsiTheme="minorHAnsi" w:cstheme="minorHAnsi"/>
          <w:sz w:val="22"/>
          <w:szCs w:val="22"/>
        </w:rPr>
        <w:t xml:space="preserve">needed service </w:t>
      </w:r>
      <w:r w:rsidR="002445D2" w:rsidRPr="00996E3C">
        <w:rPr>
          <w:rFonts w:asciiTheme="minorHAnsi" w:hAnsiTheme="minorHAnsi" w:cstheme="minorHAnsi"/>
          <w:sz w:val="22"/>
          <w:szCs w:val="22"/>
        </w:rPr>
        <w:t xml:space="preserve">but should </w:t>
      </w:r>
      <w:r w:rsidR="007A072E" w:rsidRPr="00996E3C">
        <w:rPr>
          <w:rFonts w:asciiTheme="minorHAnsi" w:hAnsiTheme="minorHAnsi" w:cstheme="minorHAnsi"/>
          <w:sz w:val="22"/>
          <w:szCs w:val="22"/>
        </w:rPr>
        <w:t>help</w:t>
      </w:r>
      <w:r w:rsidR="002445D2" w:rsidRPr="00996E3C">
        <w:rPr>
          <w:rFonts w:asciiTheme="minorHAnsi" w:hAnsiTheme="minorHAnsi" w:cstheme="minorHAnsi"/>
          <w:sz w:val="22"/>
          <w:szCs w:val="22"/>
        </w:rPr>
        <w:t xml:space="preserve"> in</w:t>
      </w:r>
      <w:r w:rsidR="00982284" w:rsidRPr="00996E3C">
        <w:rPr>
          <w:rFonts w:asciiTheme="minorHAnsi" w:hAnsiTheme="minorHAnsi" w:cstheme="minorHAnsi"/>
          <w:sz w:val="22"/>
          <w:szCs w:val="22"/>
        </w:rPr>
        <w:t xml:space="preserve"> </w:t>
      </w:r>
      <w:r w:rsidR="00006C1A" w:rsidRPr="00996E3C">
        <w:rPr>
          <w:rFonts w:asciiTheme="minorHAnsi" w:hAnsiTheme="minorHAnsi" w:cstheme="minorHAnsi"/>
          <w:sz w:val="22"/>
          <w:szCs w:val="22"/>
        </w:rPr>
        <w:t>connecting their enrollees</w:t>
      </w:r>
      <w:r w:rsidR="00982284" w:rsidRPr="00996E3C">
        <w:rPr>
          <w:rFonts w:asciiTheme="minorHAnsi" w:hAnsiTheme="minorHAnsi" w:cstheme="minorHAnsi"/>
          <w:sz w:val="22"/>
          <w:szCs w:val="22"/>
        </w:rPr>
        <w:t xml:space="preserve"> with resources</w:t>
      </w:r>
      <w:r w:rsidR="00006C1A" w:rsidRPr="00996E3C">
        <w:rPr>
          <w:rFonts w:asciiTheme="minorHAnsi" w:hAnsiTheme="minorHAnsi" w:cstheme="minorHAnsi"/>
          <w:sz w:val="22"/>
          <w:szCs w:val="22"/>
        </w:rPr>
        <w:t xml:space="preserve"> to help address identified needs</w:t>
      </w:r>
      <w:r w:rsidR="00982284" w:rsidRPr="00996E3C">
        <w:rPr>
          <w:rFonts w:asciiTheme="minorHAnsi" w:hAnsiTheme="minorHAnsi" w:cstheme="minorHAnsi"/>
          <w:sz w:val="22"/>
          <w:szCs w:val="22"/>
        </w:rPr>
        <w:t xml:space="preserve">. It is not clear if the proposed regulations imply that this should </w:t>
      </w:r>
      <w:proofErr w:type="gramStart"/>
      <w:r w:rsidR="00982284" w:rsidRPr="00996E3C">
        <w:rPr>
          <w:rFonts w:asciiTheme="minorHAnsi" w:hAnsiTheme="minorHAnsi" w:cstheme="minorHAnsi"/>
          <w:sz w:val="22"/>
          <w:szCs w:val="22"/>
        </w:rPr>
        <w:t>occur</w:t>
      </w:r>
      <w:proofErr w:type="gramEnd"/>
      <w:r w:rsidR="00982284" w:rsidRPr="00996E3C">
        <w:rPr>
          <w:rFonts w:asciiTheme="minorHAnsi" w:hAnsiTheme="minorHAnsi" w:cstheme="minorHAnsi"/>
          <w:sz w:val="22"/>
          <w:szCs w:val="22"/>
        </w:rPr>
        <w:t xml:space="preserve"> but we would suggest </w:t>
      </w:r>
      <w:r w:rsidR="00E2365E">
        <w:rPr>
          <w:rFonts w:asciiTheme="minorHAnsi" w:hAnsiTheme="minorHAnsi" w:cstheme="minorHAnsi"/>
          <w:sz w:val="22"/>
          <w:szCs w:val="22"/>
        </w:rPr>
        <w:t xml:space="preserve">CMS clearly describe </w:t>
      </w:r>
      <w:r w:rsidR="00006C1A" w:rsidRPr="00996E3C">
        <w:rPr>
          <w:rFonts w:asciiTheme="minorHAnsi" w:hAnsiTheme="minorHAnsi" w:cstheme="minorHAnsi"/>
          <w:sz w:val="22"/>
          <w:szCs w:val="22"/>
        </w:rPr>
        <w:t xml:space="preserve">the plan’s </w:t>
      </w:r>
      <w:r w:rsidR="00BF4B3A" w:rsidRPr="00996E3C">
        <w:rPr>
          <w:rFonts w:asciiTheme="minorHAnsi" w:hAnsiTheme="minorHAnsi" w:cstheme="minorHAnsi"/>
          <w:sz w:val="22"/>
          <w:szCs w:val="22"/>
        </w:rPr>
        <w:t xml:space="preserve">role and </w:t>
      </w:r>
      <w:r w:rsidR="00006C1A" w:rsidRPr="00996E3C">
        <w:rPr>
          <w:rFonts w:asciiTheme="minorHAnsi" w:hAnsiTheme="minorHAnsi" w:cstheme="minorHAnsi"/>
          <w:sz w:val="22"/>
          <w:szCs w:val="22"/>
        </w:rPr>
        <w:t>responsibility</w:t>
      </w:r>
      <w:r w:rsidR="00E2365E">
        <w:rPr>
          <w:rFonts w:asciiTheme="minorHAnsi" w:hAnsiTheme="minorHAnsi" w:cstheme="minorHAnsi"/>
          <w:sz w:val="22"/>
          <w:szCs w:val="22"/>
        </w:rPr>
        <w:t xml:space="preserve"> related to </w:t>
      </w:r>
      <w:r w:rsidR="00A16BA5">
        <w:rPr>
          <w:rFonts w:asciiTheme="minorHAnsi" w:hAnsiTheme="minorHAnsi" w:cstheme="minorHAnsi"/>
          <w:sz w:val="22"/>
          <w:szCs w:val="22"/>
        </w:rPr>
        <w:t xml:space="preserve">information obtained through these questions. </w:t>
      </w:r>
      <w:r w:rsidR="009B449A" w:rsidRPr="00996E3C">
        <w:rPr>
          <w:rFonts w:asciiTheme="minorHAnsi" w:hAnsiTheme="minorHAnsi" w:cstheme="minorHAnsi"/>
          <w:sz w:val="22"/>
          <w:szCs w:val="22"/>
        </w:rPr>
        <w:t xml:space="preserve">We encourage CMS to track this standardized data to identify trends and perhaps compare to </w:t>
      </w:r>
      <w:r w:rsidR="00E270A3" w:rsidRPr="00996E3C">
        <w:rPr>
          <w:rFonts w:asciiTheme="minorHAnsi" w:hAnsiTheme="minorHAnsi" w:cstheme="minorHAnsi"/>
          <w:sz w:val="22"/>
          <w:szCs w:val="22"/>
        </w:rPr>
        <w:t xml:space="preserve">supplemental benefits offered and utilized. Are enrollees accessing available plan benefits that would address their SDOH needs? </w:t>
      </w:r>
    </w:p>
    <w:p w14:paraId="271AB3CF" w14:textId="77777777" w:rsidR="004D02EF" w:rsidRPr="004D02EF" w:rsidRDefault="00462055" w:rsidP="00570FE1">
      <w:pPr>
        <w:rPr>
          <w:rFonts w:cstheme="minorHAnsi"/>
          <w:b/>
          <w:bCs/>
          <w:i/>
          <w:sz w:val="22"/>
          <w:szCs w:val="22"/>
        </w:rPr>
      </w:pPr>
      <w:r w:rsidRPr="004D02EF">
        <w:rPr>
          <w:rFonts w:cstheme="minorHAnsi"/>
          <w:b/>
          <w:bCs/>
          <w:i/>
          <w:sz w:val="22"/>
          <w:szCs w:val="22"/>
        </w:rPr>
        <w:t>Network adequacy</w:t>
      </w:r>
    </w:p>
    <w:p w14:paraId="684786B7" w14:textId="0847C93D" w:rsidR="001714D9" w:rsidRPr="00996E3C" w:rsidRDefault="00B1789F" w:rsidP="00570FE1">
      <w:pPr>
        <w:rPr>
          <w:rFonts w:cstheme="minorHAnsi"/>
          <w:sz w:val="22"/>
          <w:szCs w:val="22"/>
        </w:rPr>
      </w:pPr>
      <w:r w:rsidRPr="00996E3C">
        <w:rPr>
          <w:rFonts w:cstheme="minorHAnsi"/>
          <w:sz w:val="22"/>
          <w:szCs w:val="22"/>
        </w:rPr>
        <w:t xml:space="preserve">We </w:t>
      </w:r>
      <w:r w:rsidR="005938FC">
        <w:rPr>
          <w:rFonts w:cstheme="minorHAnsi"/>
          <w:sz w:val="22"/>
          <w:szCs w:val="22"/>
        </w:rPr>
        <w:t>appreciate the proposal that would permit CMS</w:t>
      </w:r>
      <w:r w:rsidR="00012B85">
        <w:rPr>
          <w:rFonts w:cstheme="minorHAnsi"/>
          <w:sz w:val="22"/>
          <w:szCs w:val="22"/>
        </w:rPr>
        <w:t xml:space="preserve">, beginning in contract year 2024, </w:t>
      </w:r>
      <w:r w:rsidR="005938FC">
        <w:rPr>
          <w:rFonts w:cstheme="minorHAnsi"/>
          <w:sz w:val="22"/>
          <w:szCs w:val="22"/>
        </w:rPr>
        <w:t xml:space="preserve">to deny an application </w:t>
      </w:r>
      <w:r w:rsidR="007D7AFE">
        <w:rPr>
          <w:rFonts w:cstheme="minorHAnsi"/>
          <w:sz w:val="22"/>
          <w:szCs w:val="22"/>
        </w:rPr>
        <w:t>for</w:t>
      </w:r>
      <w:r w:rsidR="005938FC">
        <w:rPr>
          <w:rFonts w:cstheme="minorHAnsi"/>
          <w:sz w:val="22"/>
          <w:szCs w:val="22"/>
        </w:rPr>
        <w:t xml:space="preserve"> a new or expanded service area if the plan </w:t>
      </w:r>
      <w:r w:rsidR="008B093F">
        <w:rPr>
          <w:rFonts w:cstheme="minorHAnsi"/>
          <w:sz w:val="22"/>
          <w:szCs w:val="22"/>
        </w:rPr>
        <w:t>fails to demonstrate compliance with network adequacy standards for the new or expanded area(s).</w:t>
      </w:r>
      <w:r w:rsidRPr="00996E3C">
        <w:rPr>
          <w:rFonts w:cstheme="minorHAnsi"/>
          <w:sz w:val="22"/>
          <w:szCs w:val="22"/>
        </w:rPr>
        <w:t xml:space="preserve"> </w:t>
      </w:r>
      <w:r w:rsidR="001D0E81">
        <w:rPr>
          <w:rFonts w:cstheme="minorHAnsi"/>
          <w:sz w:val="22"/>
          <w:szCs w:val="22"/>
        </w:rPr>
        <w:t xml:space="preserve">We think the proposed </w:t>
      </w:r>
      <w:r w:rsidR="001D0E81">
        <w:rPr>
          <w:rFonts w:cstheme="minorHAnsi"/>
          <w:sz w:val="22"/>
          <w:szCs w:val="22"/>
        </w:rPr>
        <w:lastRenderedPageBreak/>
        <w:t xml:space="preserve">approach that gives a plan </w:t>
      </w:r>
      <w:r w:rsidR="00E77EF3" w:rsidRPr="00996E3C">
        <w:rPr>
          <w:rFonts w:cstheme="minorHAnsi"/>
          <w:sz w:val="22"/>
          <w:szCs w:val="22"/>
        </w:rPr>
        <w:t xml:space="preserve">a 10 percent credit </w:t>
      </w:r>
      <w:r w:rsidR="001D0E81">
        <w:rPr>
          <w:rFonts w:cstheme="minorHAnsi"/>
          <w:sz w:val="22"/>
          <w:szCs w:val="22"/>
        </w:rPr>
        <w:t xml:space="preserve">off the network adequacy standards </w:t>
      </w:r>
      <w:r w:rsidR="00E77EF3" w:rsidRPr="00996E3C">
        <w:rPr>
          <w:rFonts w:cstheme="minorHAnsi"/>
          <w:sz w:val="22"/>
          <w:szCs w:val="22"/>
        </w:rPr>
        <w:t xml:space="preserve">through the application review process </w:t>
      </w:r>
      <w:r w:rsidR="001D0E81">
        <w:rPr>
          <w:rFonts w:cstheme="minorHAnsi"/>
          <w:sz w:val="22"/>
          <w:szCs w:val="22"/>
        </w:rPr>
        <w:t xml:space="preserve">is reasonable especially given the expectation that the plan must be in </w:t>
      </w:r>
      <w:r w:rsidR="00E77EF3" w:rsidRPr="00996E3C">
        <w:rPr>
          <w:rFonts w:cstheme="minorHAnsi"/>
          <w:sz w:val="22"/>
          <w:szCs w:val="22"/>
        </w:rPr>
        <w:t>full compliance</w:t>
      </w:r>
      <w:r w:rsidR="00F1081F">
        <w:rPr>
          <w:rFonts w:cstheme="minorHAnsi"/>
          <w:sz w:val="22"/>
          <w:szCs w:val="22"/>
        </w:rPr>
        <w:t xml:space="preserve"> </w:t>
      </w:r>
      <w:r w:rsidR="00E77EF3" w:rsidRPr="00996E3C">
        <w:rPr>
          <w:rFonts w:cstheme="minorHAnsi"/>
          <w:sz w:val="22"/>
          <w:szCs w:val="22"/>
        </w:rPr>
        <w:t xml:space="preserve">without </w:t>
      </w:r>
      <w:r w:rsidR="00F1081F">
        <w:rPr>
          <w:rFonts w:cstheme="minorHAnsi"/>
          <w:sz w:val="22"/>
          <w:szCs w:val="22"/>
        </w:rPr>
        <w:t xml:space="preserve">the </w:t>
      </w:r>
      <w:r w:rsidR="000C0D04">
        <w:rPr>
          <w:rFonts w:cstheme="minorHAnsi"/>
          <w:sz w:val="22"/>
          <w:szCs w:val="22"/>
        </w:rPr>
        <w:t>10-percentage</w:t>
      </w:r>
      <w:r w:rsidR="00F1081F">
        <w:rPr>
          <w:rFonts w:cstheme="minorHAnsi"/>
          <w:sz w:val="22"/>
          <w:szCs w:val="22"/>
        </w:rPr>
        <w:t xml:space="preserve"> point </w:t>
      </w:r>
      <w:r w:rsidR="00E77EF3" w:rsidRPr="00996E3C">
        <w:rPr>
          <w:rFonts w:cstheme="minorHAnsi"/>
          <w:sz w:val="22"/>
          <w:szCs w:val="22"/>
        </w:rPr>
        <w:t xml:space="preserve">credit at the start of the plan contract year. </w:t>
      </w:r>
      <w:r w:rsidR="0017592A" w:rsidRPr="00996E3C">
        <w:rPr>
          <w:rFonts w:cstheme="minorHAnsi"/>
          <w:sz w:val="22"/>
          <w:szCs w:val="22"/>
        </w:rPr>
        <w:t>What is not clear is what happens if the plan does not achieve the full network adequacy requirements by the time the plan year begins</w:t>
      </w:r>
      <w:r w:rsidR="000D1F53" w:rsidRPr="00996E3C">
        <w:rPr>
          <w:rFonts w:cstheme="minorHAnsi"/>
          <w:sz w:val="22"/>
          <w:szCs w:val="22"/>
        </w:rPr>
        <w:t xml:space="preserve">? CMS can’t deny the </w:t>
      </w:r>
      <w:r w:rsidR="00FA2816" w:rsidRPr="00996E3C">
        <w:rPr>
          <w:rFonts w:cstheme="minorHAnsi"/>
          <w:sz w:val="22"/>
          <w:szCs w:val="22"/>
        </w:rPr>
        <w:t xml:space="preserve">contract at that point or remove the new or expansion areas because this would be disruptive to </w:t>
      </w:r>
      <w:r w:rsidR="00A0353C">
        <w:rPr>
          <w:rFonts w:cstheme="minorHAnsi"/>
          <w:sz w:val="22"/>
          <w:szCs w:val="22"/>
        </w:rPr>
        <w:t>those already enrolled in the plan</w:t>
      </w:r>
      <w:r w:rsidR="007C6A7D" w:rsidRPr="00996E3C">
        <w:rPr>
          <w:rFonts w:cstheme="minorHAnsi"/>
          <w:sz w:val="22"/>
          <w:szCs w:val="22"/>
        </w:rPr>
        <w:t xml:space="preserve">. However, without teeth to the regulation, what would incentivize a plan to ensure compliance with the established network adequacy standard? We hope CMS will </w:t>
      </w:r>
      <w:r w:rsidR="000C0D04" w:rsidRPr="00996E3C">
        <w:rPr>
          <w:rFonts w:cstheme="minorHAnsi"/>
          <w:sz w:val="22"/>
          <w:szCs w:val="22"/>
        </w:rPr>
        <w:t>consider</w:t>
      </w:r>
      <w:r w:rsidR="0050666C" w:rsidRPr="00996E3C">
        <w:rPr>
          <w:rFonts w:cstheme="minorHAnsi"/>
          <w:sz w:val="22"/>
          <w:szCs w:val="22"/>
        </w:rPr>
        <w:t xml:space="preserve"> the </w:t>
      </w:r>
      <w:r w:rsidR="0081439D" w:rsidRPr="00996E3C">
        <w:rPr>
          <w:rFonts w:cstheme="minorHAnsi"/>
          <w:sz w:val="22"/>
          <w:szCs w:val="22"/>
        </w:rPr>
        <w:t>consequences</w:t>
      </w:r>
      <w:r w:rsidR="0050666C" w:rsidRPr="00996E3C">
        <w:rPr>
          <w:rFonts w:cstheme="minorHAnsi"/>
          <w:sz w:val="22"/>
          <w:szCs w:val="22"/>
        </w:rPr>
        <w:t xml:space="preserve"> of a plan’s </w:t>
      </w:r>
      <w:r w:rsidR="0081439D" w:rsidRPr="00996E3C">
        <w:rPr>
          <w:rFonts w:cstheme="minorHAnsi"/>
          <w:sz w:val="22"/>
          <w:szCs w:val="22"/>
        </w:rPr>
        <w:t>failure to achieve network adequacy</w:t>
      </w:r>
      <w:r w:rsidR="000C0D04">
        <w:rPr>
          <w:rFonts w:cstheme="minorHAnsi"/>
          <w:sz w:val="22"/>
          <w:szCs w:val="22"/>
        </w:rPr>
        <w:t>,</w:t>
      </w:r>
      <w:r w:rsidR="00012B85">
        <w:rPr>
          <w:rFonts w:cstheme="minorHAnsi"/>
          <w:sz w:val="22"/>
          <w:szCs w:val="22"/>
        </w:rPr>
        <w:t xml:space="preserve"> in general</w:t>
      </w:r>
      <w:r w:rsidR="000C0D04">
        <w:rPr>
          <w:rFonts w:cstheme="minorHAnsi"/>
          <w:sz w:val="22"/>
          <w:szCs w:val="22"/>
        </w:rPr>
        <w:t>,</w:t>
      </w:r>
      <w:r w:rsidR="00012B85">
        <w:rPr>
          <w:rFonts w:cstheme="minorHAnsi"/>
          <w:sz w:val="22"/>
          <w:szCs w:val="22"/>
        </w:rPr>
        <w:t xml:space="preserve"> but also for the new and expanded area applications</w:t>
      </w:r>
      <w:r w:rsidR="0081439D" w:rsidRPr="00996E3C">
        <w:rPr>
          <w:rFonts w:cstheme="minorHAnsi"/>
          <w:sz w:val="22"/>
          <w:szCs w:val="22"/>
        </w:rPr>
        <w:t xml:space="preserve">. </w:t>
      </w:r>
    </w:p>
    <w:p w14:paraId="12A5611C" w14:textId="77777777" w:rsidR="004C289E" w:rsidRPr="00996E3C" w:rsidRDefault="004C289E" w:rsidP="00570FE1">
      <w:pPr>
        <w:rPr>
          <w:rFonts w:cstheme="minorHAnsi"/>
          <w:sz w:val="22"/>
          <w:szCs w:val="22"/>
        </w:rPr>
      </w:pPr>
    </w:p>
    <w:p w14:paraId="0DF0E0A8" w14:textId="0C14469D" w:rsidR="004C289E" w:rsidRPr="00996E3C" w:rsidRDefault="004C289E" w:rsidP="00570FE1">
      <w:pPr>
        <w:rPr>
          <w:rFonts w:cstheme="minorHAnsi"/>
          <w:sz w:val="22"/>
          <w:szCs w:val="22"/>
        </w:rPr>
      </w:pPr>
      <w:r w:rsidRPr="00996E3C">
        <w:rPr>
          <w:rFonts w:cstheme="minorHAnsi"/>
          <w:sz w:val="22"/>
          <w:szCs w:val="22"/>
        </w:rPr>
        <w:t xml:space="preserve">We also support CMS’s proposal to consult states when a plan submits a request for a network exception, as the state </w:t>
      </w:r>
      <w:r w:rsidR="003D228D">
        <w:rPr>
          <w:rFonts w:cstheme="minorHAnsi"/>
          <w:sz w:val="22"/>
          <w:szCs w:val="22"/>
        </w:rPr>
        <w:t xml:space="preserve">can offer a key </w:t>
      </w:r>
      <w:r w:rsidR="00B738EF" w:rsidRPr="00996E3C">
        <w:rPr>
          <w:rFonts w:cstheme="minorHAnsi"/>
          <w:sz w:val="22"/>
          <w:szCs w:val="22"/>
        </w:rPr>
        <w:t xml:space="preserve">understanding of the on-the-ground dynamics </w:t>
      </w:r>
      <w:r w:rsidR="00D25157" w:rsidRPr="00996E3C">
        <w:rPr>
          <w:rFonts w:cstheme="minorHAnsi"/>
          <w:sz w:val="22"/>
          <w:szCs w:val="22"/>
        </w:rPr>
        <w:t>regarding availability of providers</w:t>
      </w:r>
      <w:r w:rsidR="003E607B" w:rsidRPr="00996E3C">
        <w:rPr>
          <w:rFonts w:cstheme="minorHAnsi"/>
          <w:sz w:val="22"/>
          <w:szCs w:val="22"/>
        </w:rPr>
        <w:t xml:space="preserve"> or other relevant factors that may result in a better decision</w:t>
      </w:r>
      <w:r w:rsidR="00C57A6D">
        <w:rPr>
          <w:rFonts w:cstheme="minorHAnsi"/>
          <w:sz w:val="22"/>
          <w:szCs w:val="22"/>
        </w:rPr>
        <w:t xml:space="preserve"> on these exception requests</w:t>
      </w:r>
      <w:r w:rsidR="003E607B" w:rsidRPr="00996E3C">
        <w:rPr>
          <w:rFonts w:cstheme="minorHAnsi"/>
          <w:sz w:val="22"/>
          <w:szCs w:val="22"/>
        </w:rPr>
        <w:t xml:space="preserve">. </w:t>
      </w:r>
    </w:p>
    <w:p w14:paraId="63BDEA32" w14:textId="77777777" w:rsidR="00570FE1" w:rsidRPr="00996E3C" w:rsidRDefault="00570FE1" w:rsidP="00570FE1">
      <w:pPr>
        <w:rPr>
          <w:rFonts w:cstheme="minorHAnsi"/>
          <w:b/>
          <w:bCs/>
          <w:sz w:val="22"/>
          <w:szCs w:val="22"/>
        </w:rPr>
      </w:pPr>
    </w:p>
    <w:p w14:paraId="06A40184" w14:textId="77777777" w:rsidR="00F20F7C" w:rsidRDefault="00462055" w:rsidP="00570FE1">
      <w:pPr>
        <w:rPr>
          <w:rFonts w:cstheme="minorHAnsi"/>
          <w:sz w:val="22"/>
          <w:szCs w:val="22"/>
        </w:rPr>
      </w:pPr>
      <w:r w:rsidRPr="00F20F7C">
        <w:rPr>
          <w:rFonts w:cstheme="minorHAnsi"/>
          <w:b/>
          <w:bCs/>
          <w:i/>
          <w:iCs/>
          <w:sz w:val="22"/>
          <w:szCs w:val="22"/>
        </w:rPr>
        <w:t>Expanding factors to deny contract expansions</w:t>
      </w:r>
      <w:r w:rsidRPr="00F20F7C">
        <w:rPr>
          <w:rFonts w:cstheme="minorHAnsi"/>
          <w:sz w:val="22"/>
          <w:szCs w:val="22"/>
        </w:rPr>
        <w:t xml:space="preserve"> </w:t>
      </w:r>
    </w:p>
    <w:p w14:paraId="5F06DAF3" w14:textId="162E131F" w:rsidR="009F1D74" w:rsidRPr="00996E3C" w:rsidRDefault="00090C02" w:rsidP="00570FE1">
      <w:pPr>
        <w:rPr>
          <w:rFonts w:cstheme="minorHAnsi"/>
          <w:sz w:val="22"/>
          <w:szCs w:val="22"/>
        </w:rPr>
      </w:pPr>
      <w:r>
        <w:rPr>
          <w:rFonts w:cstheme="minorHAnsi"/>
          <w:sz w:val="22"/>
          <w:szCs w:val="22"/>
        </w:rPr>
        <w:t>LeadingAge supports</w:t>
      </w:r>
      <w:r w:rsidR="00AF36FB">
        <w:rPr>
          <w:rFonts w:cstheme="minorHAnsi"/>
          <w:sz w:val="22"/>
          <w:szCs w:val="22"/>
        </w:rPr>
        <w:t xml:space="preserve"> the </w:t>
      </w:r>
      <w:r w:rsidR="00C57A6D">
        <w:rPr>
          <w:rFonts w:cstheme="minorHAnsi"/>
          <w:sz w:val="22"/>
          <w:szCs w:val="22"/>
        </w:rPr>
        <w:t xml:space="preserve">additional </w:t>
      </w:r>
      <w:r w:rsidR="001A4B5D">
        <w:rPr>
          <w:rFonts w:cstheme="minorHAnsi"/>
          <w:sz w:val="22"/>
          <w:szCs w:val="22"/>
        </w:rPr>
        <w:t xml:space="preserve">proposed </w:t>
      </w:r>
      <w:r w:rsidR="00AF36FB">
        <w:rPr>
          <w:rFonts w:cstheme="minorHAnsi"/>
          <w:sz w:val="22"/>
          <w:szCs w:val="22"/>
        </w:rPr>
        <w:t>factors for which CMS can deny an MA/SNP plan application</w:t>
      </w:r>
      <w:r w:rsidR="00CA3F48">
        <w:rPr>
          <w:rFonts w:cstheme="minorHAnsi"/>
          <w:sz w:val="22"/>
          <w:szCs w:val="22"/>
        </w:rPr>
        <w:t xml:space="preserve"> </w:t>
      </w:r>
      <w:proofErr w:type="gramStart"/>
      <w:r w:rsidR="00CA3F48">
        <w:rPr>
          <w:rFonts w:cstheme="minorHAnsi"/>
          <w:sz w:val="22"/>
          <w:szCs w:val="22"/>
        </w:rPr>
        <w:t>including</w:t>
      </w:r>
      <w:r w:rsidR="0047724B" w:rsidRPr="00996E3C">
        <w:rPr>
          <w:rFonts w:cstheme="minorHAnsi"/>
          <w:sz w:val="22"/>
          <w:szCs w:val="22"/>
        </w:rPr>
        <w:t>:</w:t>
      </w:r>
      <w:proofErr w:type="gramEnd"/>
      <w:r w:rsidR="0047724B" w:rsidRPr="00996E3C">
        <w:rPr>
          <w:rFonts w:cstheme="minorHAnsi"/>
          <w:sz w:val="22"/>
          <w:szCs w:val="22"/>
        </w:rPr>
        <w:t xml:space="preserve"> plans with 2.5 stars or fewer quality rating, bankruptcy</w:t>
      </w:r>
      <w:r w:rsidR="00697587" w:rsidRPr="00996E3C">
        <w:rPr>
          <w:rFonts w:cstheme="minorHAnsi"/>
          <w:sz w:val="22"/>
          <w:szCs w:val="22"/>
        </w:rPr>
        <w:t xml:space="preserve"> or filing for bankruptcy</w:t>
      </w:r>
      <w:r w:rsidR="001A4B5D">
        <w:rPr>
          <w:rFonts w:cstheme="minorHAnsi"/>
          <w:sz w:val="22"/>
          <w:szCs w:val="22"/>
        </w:rPr>
        <w:t>,</w:t>
      </w:r>
      <w:r w:rsidR="00697587" w:rsidRPr="00996E3C">
        <w:rPr>
          <w:rFonts w:cstheme="minorHAnsi"/>
          <w:sz w:val="22"/>
          <w:szCs w:val="22"/>
        </w:rPr>
        <w:t xml:space="preserve"> or too many compliance actions beyond an established threshold. </w:t>
      </w:r>
      <w:r w:rsidR="009F1D74" w:rsidRPr="00996E3C">
        <w:rPr>
          <w:rFonts w:cstheme="minorHAnsi"/>
          <w:sz w:val="22"/>
          <w:szCs w:val="22"/>
        </w:rPr>
        <w:t xml:space="preserve">These are good first steps. We would like to see CMS take stronger action against plans with numerous and persistent compliance actions, or consumer/provider complaints. </w:t>
      </w:r>
    </w:p>
    <w:p w14:paraId="629E44A2" w14:textId="77777777" w:rsidR="00570FE1" w:rsidRPr="00996E3C" w:rsidRDefault="00570FE1" w:rsidP="00570FE1">
      <w:pPr>
        <w:rPr>
          <w:rFonts w:cstheme="minorHAnsi"/>
          <w:b/>
          <w:bCs/>
          <w:sz w:val="22"/>
          <w:szCs w:val="22"/>
        </w:rPr>
      </w:pPr>
    </w:p>
    <w:p w14:paraId="34491DDD" w14:textId="77777777" w:rsidR="00733107" w:rsidRDefault="00462055" w:rsidP="00570FE1">
      <w:pPr>
        <w:rPr>
          <w:rFonts w:cstheme="minorHAnsi"/>
          <w:b/>
          <w:bCs/>
          <w:sz w:val="22"/>
          <w:szCs w:val="22"/>
        </w:rPr>
      </w:pPr>
      <w:r w:rsidRPr="00733107">
        <w:rPr>
          <w:rFonts w:cstheme="minorHAnsi"/>
          <w:b/>
          <w:bCs/>
          <w:i/>
          <w:iCs/>
          <w:sz w:val="22"/>
          <w:szCs w:val="22"/>
        </w:rPr>
        <w:t>Minimum Loss Ratio reporting requirements</w:t>
      </w:r>
    </w:p>
    <w:p w14:paraId="22153341" w14:textId="45859E0D" w:rsidR="009A4002" w:rsidRPr="00996E3C" w:rsidRDefault="003547EA" w:rsidP="00952194">
      <w:pPr>
        <w:rPr>
          <w:rFonts w:cstheme="minorHAnsi"/>
          <w:sz w:val="22"/>
          <w:szCs w:val="22"/>
        </w:rPr>
      </w:pPr>
      <w:r w:rsidRPr="00996E3C">
        <w:rPr>
          <w:rFonts w:cstheme="minorHAnsi"/>
          <w:sz w:val="22"/>
          <w:szCs w:val="22"/>
        </w:rPr>
        <w:t xml:space="preserve">LeadingAge </w:t>
      </w:r>
      <w:r w:rsidR="005D02DA">
        <w:rPr>
          <w:rFonts w:cstheme="minorHAnsi"/>
          <w:sz w:val="22"/>
          <w:szCs w:val="22"/>
        </w:rPr>
        <w:t xml:space="preserve">agrees with CMS’s proposal to reinstate </w:t>
      </w:r>
      <w:r w:rsidRPr="00996E3C">
        <w:rPr>
          <w:rFonts w:cstheme="minorHAnsi"/>
          <w:sz w:val="22"/>
          <w:szCs w:val="22"/>
        </w:rPr>
        <w:t>the more detailed MLR reporting</w:t>
      </w:r>
      <w:r w:rsidR="006D4D27" w:rsidRPr="00996E3C">
        <w:rPr>
          <w:rFonts w:cstheme="minorHAnsi"/>
          <w:sz w:val="22"/>
          <w:szCs w:val="22"/>
        </w:rPr>
        <w:t xml:space="preserve"> </w:t>
      </w:r>
      <w:r w:rsidR="005D02DA">
        <w:rPr>
          <w:rFonts w:cstheme="minorHAnsi"/>
          <w:sz w:val="22"/>
          <w:szCs w:val="22"/>
        </w:rPr>
        <w:t>that had been in effect from 2014 to 2017</w:t>
      </w:r>
      <w:r w:rsidR="00BF51FB">
        <w:rPr>
          <w:rFonts w:cstheme="minorHAnsi"/>
          <w:sz w:val="22"/>
          <w:szCs w:val="22"/>
        </w:rPr>
        <w:t xml:space="preserve"> with</w:t>
      </w:r>
      <w:r w:rsidR="006D4D27" w:rsidRPr="00996E3C">
        <w:rPr>
          <w:rFonts w:cstheme="minorHAnsi"/>
          <w:sz w:val="22"/>
          <w:szCs w:val="22"/>
        </w:rPr>
        <w:t xml:space="preserve"> the proposed rule’s </w:t>
      </w:r>
      <w:r w:rsidR="00BF51FB">
        <w:rPr>
          <w:rFonts w:cstheme="minorHAnsi"/>
          <w:sz w:val="22"/>
          <w:szCs w:val="22"/>
        </w:rPr>
        <w:t>addition</w:t>
      </w:r>
      <w:r w:rsidR="006D4D27" w:rsidRPr="00996E3C">
        <w:rPr>
          <w:rFonts w:cstheme="minorHAnsi"/>
          <w:sz w:val="22"/>
          <w:szCs w:val="22"/>
        </w:rPr>
        <w:t xml:space="preserve"> of incurred claims for supplemental benefits</w:t>
      </w:r>
      <w:r w:rsidR="00BF51FB">
        <w:rPr>
          <w:rFonts w:cstheme="minorHAnsi"/>
          <w:sz w:val="22"/>
          <w:szCs w:val="22"/>
        </w:rPr>
        <w:t>. W</w:t>
      </w:r>
      <w:r w:rsidR="006D4D27" w:rsidRPr="00996E3C">
        <w:rPr>
          <w:rFonts w:cstheme="minorHAnsi"/>
          <w:sz w:val="22"/>
          <w:szCs w:val="22"/>
        </w:rPr>
        <w:t xml:space="preserve">e </w:t>
      </w:r>
      <w:r w:rsidR="00BF51FB">
        <w:rPr>
          <w:rFonts w:cstheme="minorHAnsi"/>
          <w:sz w:val="22"/>
          <w:szCs w:val="22"/>
        </w:rPr>
        <w:t xml:space="preserve">see </w:t>
      </w:r>
      <w:r w:rsidR="00280832">
        <w:rPr>
          <w:rFonts w:cstheme="minorHAnsi"/>
          <w:sz w:val="22"/>
          <w:szCs w:val="22"/>
        </w:rPr>
        <w:t xml:space="preserve">many benefits accruing from the information obtained from this reporting including </w:t>
      </w:r>
      <w:r w:rsidR="006D4D27" w:rsidRPr="00996E3C">
        <w:rPr>
          <w:rFonts w:cstheme="minorHAnsi"/>
          <w:sz w:val="22"/>
          <w:szCs w:val="22"/>
        </w:rPr>
        <w:t xml:space="preserve">useful information on how </w:t>
      </w:r>
      <w:r w:rsidR="00590013" w:rsidRPr="00996E3C">
        <w:rPr>
          <w:rFonts w:cstheme="minorHAnsi"/>
          <w:sz w:val="22"/>
          <w:szCs w:val="22"/>
        </w:rPr>
        <w:t xml:space="preserve">much utilization </w:t>
      </w:r>
      <w:r w:rsidR="00041C7A" w:rsidRPr="00996E3C">
        <w:rPr>
          <w:rFonts w:cstheme="minorHAnsi"/>
          <w:sz w:val="22"/>
          <w:szCs w:val="22"/>
        </w:rPr>
        <w:t>there is of the various categories of supplemental benefits such as</w:t>
      </w:r>
      <w:r w:rsidR="00590013" w:rsidRPr="00996E3C">
        <w:rPr>
          <w:rFonts w:cstheme="minorHAnsi"/>
          <w:sz w:val="22"/>
          <w:szCs w:val="22"/>
        </w:rPr>
        <w:t xml:space="preserve"> primarily-health related, non-primarily health related </w:t>
      </w:r>
      <w:r w:rsidR="00041C7A" w:rsidRPr="00996E3C">
        <w:rPr>
          <w:rFonts w:cstheme="minorHAnsi"/>
          <w:sz w:val="22"/>
          <w:szCs w:val="22"/>
        </w:rPr>
        <w:t xml:space="preserve">and </w:t>
      </w:r>
      <w:r w:rsidR="00187A21" w:rsidRPr="00996E3C">
        <w:rPr>
          <w:rFonts w:cstheme="minorHAnsi"/>
          <w:sz w:val="22"/>
          <w:szCs w:val="22"/>
        </w:rPr>
        <w:t xml:space="preserve">special supplemental benefits for the chronically ill (SSBCI). </w:t>
      </w:r>
      <w:r w:rsidR="00A16360" w:rsidRPr="00996E3C">
        <w:rPr>
          <w:rFonts w:cstheme="minorHAnsi"/>
          <w:sz w:val="22"/>
          <w:szCs w:val="22"/>
        </w:rPr>
        <w:t>This is an important first step in understanding what value beneficiaries receiv</w:t>
      </w:r>
      <w:r w:rsidR="001060E1" w:rsidRPr="00996E3C">
        <w:rPr>
          <w:rFonts w:cstheme="minorHAnsi"/>
          <w:sz w:val="22"/>
          <w:szCs w:val="22"/>
        </w:rPr>
        <w:t>e</w:t>
      </w:r>
      <w:r w:rsidR="00A16360" w:rsidRPr="00996E3C">
        <w:rPr>
          <w:rFonts w:cstheme="minorHAnsi"/>
          <w:sz w:val="22"/>
          <w:szCs w:val="22"/>
        </w:rPr>
        <w:t xml:space="preserve"> from these offerings. </w:t>
      </w:r>
      <w:r w:rsidR="00C90781" w:rsidRPr="00996E3C">
        <w:rPr>
          <w:rFonts w:cstheme="minorHAnsi"/>
          <w:sz w:val="22"/>
          <w:szCs w:val="22"/>
        </w:rPr>
        <w:t xml:space="preserve">Ideally, we would like to see </w:t>
      </w:r>
      <w:r w:rsidR="002C2C38" w:rsidRPr="00996E3C">
        <w:rPr>
          <w:rFonts w:cstheme="minorHAnsi"/>
          <w:sz w:val="22"/>
          <w:szCs w:val="22"/>
        </w:rPr>
        <w:t>this information at a more granular level to understand which specific benefits are being utilized to inform future Medicare and Medicare Advantage polic</w:t>
      </w:r>
      <w:r w:rsidR="00280832">
        <w:rPr>
          <w:rFonts w:cstheme="minorHAnsi"/>
          <w:sz w:val="22"/>
          <w:szCs w:val="22"/>
        </w:rPr>
        <w:t>i</w:t>
      </w:r>
      <w:r w:rsidR="002C2C38" w:rsidRPr="00996E3C">
        <w:rPr>
          <w:rFonts w:cstheme="minorHAnsi"/>
          <w:sz w:val="22"/>
          <w:szCs w:val="22"/>
        </w:rPr>
        <w:t xml:space="preserve">es. </w:t>
      </w:r>
      <w:r w:rsidR="008F6269">
        <w:rPr>
          <w:rFonts w:cstheme="minorHAnsi"/>
          <w:sz w:val="22"/>
          <w:szCs w:val="22"/>
        </w:rPr>
        <w:t xml:space="preserve">We recognize for plans to report on a per supplemental benefit level </w:t>
      </w:r>
      <w:r w:rsidR="002F0887" w:rsidRPr="00996E3C">
        <w:rPr>
          <w:rFonts w:cstheme="minorHAnsi"/>
          <w:sz w:val="22"/>
          <w:szCs w:val="22"/>
        </w:rPr>
        <w:t xml:space="preserve">would require additional standardization of </w:t>
      </w:r>
      <w:r w:rsidR="001615AB" w:rsidRPr="00996E3C">
        <w:rPr>
          <w:rFonts w:cstheme="minorHAnsi"/>
          <w:sz w:val="22"/>
          <w:szCs w:val="22"/>
        </w:rPr>
        <w:t xml:space="preserve">supplemental benefit categories </w:t>
      </w:r>
      <w:r w:rsidR="00D77C43">
        <w:rPr>
          <w:rFonts w:cstheme="minorHAnsi"/>
          <w:sz w:val="22"/>
          <w:szCs w:val="22"/>
        </w:rPr>
        <w:t>within the application process</w:t>
      </w:r>
      <w:r w:rsidR="001615AB" w:rsidRPr="00996E3C">
        <w:rPr>
          <w:rFonts w:cstheme="minorHAnsi"/>
          <w:sz w:val="22"/>
          <w:szCs w:val="22"/>
        </w:rPr>
        <w:t>.</w:t>
      </w:r>
      <w:r w:rsidR="00395E2A">
        <w:rPr>
          <w:rFonts w:cstheme="minorHAnsi"/>
          <w:sz w:val="22"/>
          <w:szCs w:val="22"/>
        </w:rPr>
        <w:t xml:space="preserve"> While this standardization could be beneficial in one sense, it could also have an opposite impact of stifling innovative benefit packages. </w:t>
      </w:r>
      <w:r w:rsidR="001615AB" w:rsidRPr="00996E3C">
        <w:rPr>
          <w:rFonts w:cstheme="minorHAnsi"/>
          <w:sz w:val="22"/>
          <w:szCs w:val="22"/>
        </w:rPr>
        <w:t xml:space="preserve"> </w:t>
      </w:r>
    </w:p>
    <w:p w14:paraId="507C028D" w14:textId="77777777" w:rsidR="00570FE1" w:rsidRPr="00996E3C" w:rsidRDefault="00570FE1" w:rsidP="00570FE1">
      <w:pPr>
        <w:rPr>
          <w:rFonts w:cstheme="minorHAnsi"/>
          <w:b/>
          <w:bCs/>
          <w:sz w:val="22"/>
          <w:szCs w:val="22"/>
        </w:rPr>
      </w:pPr>
    </w:p>
    <w:p w14:paraId="4354B203" w14:textId="77777777" w:rsidR="005A18A2" w:rsidRPr="005A18A2" w:rsidRDefault="00163649" w:rsidP="00570FE1">
      <w:pPr>
        <w:rPr>
          <w:rFonts w:cstheme="minorHAnsi"/>
          <w:i/>
          <w:iCs/>
          <w:sz w:val="22"/>
          <w:szCs w:val="22"/>
        </w:rPr>
      </w:pPr>
      <w:r w:rsidRPr="005A18A2">
        <w:rPr>
          <w:rFonts w:cstheme="minorHAnsi"/>
          <w:b/>
          <w:bCs/>
          <w:i/>
          <w:iCs/>
          <w:sz w:val="22"/>
          <w:szCs w:val="22"/>
        </w:rPr>
        <w:t>Oversight</w:t>
      </w:r>
      <w:r w:rsidR="00DD70CA" w:rsidRPr="005A18A2">
        <w:rPr>
          <w:rFonts w:cstheme="minorHAnsi"/>
          <w:b/>
          <w:bCs/>
          <w:i/>
          <w:iCs/>
          <w:sz w:val="22"/>
          <w:szCs w:val="22"/>
        </w:rPr>
        <w:t xml:space="preserve"> of Marketing and Communications</w:t>
      </w:r>
    </w:p>
    <w:p w14:paraId="10AF0F69" w14:textId="6AACA17F" w:rsidR="000518F9" w:rsidRPr="00996E3C" w:rsidRDefault="00EB5295" w:rsidP="00570FE1">
      <w:pPr>
        <w:rPr>
          <w:rFonts w:cstheme="minorHAnsi"/>
          <w:sz w:val="22"/>
          <w:szCs w:val="22"/>
        </w:rPr>
      </w:pPr>
      <w:r w:rsidRPr="00996E3C">
        <w:rPr>
          <w:rFonts w:cstheme="minorHAnsi"/>
          <w:sz w:val="22"/>
          <w:szCs w:val="22"/>
        </w:rPr>
        <w:t xml:space="preserve">CMS </w:t>
      </w:r>
      <w:r w:rsidR="00EC49B8">
        <w:rPr>
          <w:rFonts w:cstheme="minorHAnsi"/>
          <w:sz w:val="22"/>
          <w:szCs w:val="22"/>
        </w:rPr>
        <w:t>reported it has</w:t>
      </w:r>
      <w:r w:rsidRPr="00996E3C">
        <w:rPr>
          <w:rFonts w:cstheme="minorHAnsi"/>
          <w:sz w:val="22"/>
          <w:szCs w:val="22"/>
        </w:rPr>
        <w:t xml:space="preserve"> seen </w:t>
      </w:r>
      <w:r w:rsidR="002C435A" w:rsidRPr="00996E3C">
        <w:rPr>
          <w:rFonts w:cstheme="minorHAnsi"/>
          <w:sz w:val="22"/>
          <w:szCs w:val="22"/>
        </w:rPr>
        <w:t>more than a doubling of complaints related to marketing between 2020 and 2021</w:t>
      </w:r>
      <w:r w:rsidR="00EC49B8">
        <w:rPr>
          <w:rFonts w:cstheme="minorHAnsi"/>
          <w:sz w:val="22"/>
          <w:szCs w:val="22"/>
        </w:rPr>
        <w:t xml:space="preserve"> with </w:t>
      </w:r>
      <w:r w:rsidR="00CC7F93" w:rsidRPr="00996E3C">
        <w:rPr>
          <w:rFonts w:cstheme="minorHAnsi"/>
          <w:sz w:val="22"/>
          <w:szCs w:val="22"/>
        </w:rPr>
        <w:t xml:space="preserve">many </w:t>
      </w:r>
      <w:r w:rsidR="00EC49B8">
        <w:rPr>
          <w:rFonts w:cstheme="minorHAnsi"/>
          <w:sz w:val="22"/>
          <w:szCs w:val="22"/>
        </w:rPr>
        <w:t xml:space="preserve">complaints </w:t>
      </w:r>
      <w:r w:rsidR="00CC7F93" w:rsidRPr="00996E3C">
        <w:rPr>
          <w:rFonts w:cstheme="minorHAnsi"/>
          <w:sz w:val="22"/>
          <w:szCs w:val="22"/>
        </w:rPr>
        <w:t xml:space="preserve">related to </w:t>
      </w:r>
      <w:r w:rsidR="000F29C2" w:rsidRPr="00996E3C">
        <w:rPr>
          <w:rFonts w:cstheme="minorHAnsi"/>
          <w:sz w:val="22"/>
          <w:szCs w:val="22"/>
        </w:rPr>
        <w:t>Third Party Marketing organizations (TPMOs)</w:t>
      </w:r>
      <w:r w:rsidR="000F29C2">
        <w:rPr>
          <w:rFonts w:cstheme="minorHAnsi"/>
          <w:sz w:val="22"/>
          <w:szCs w:val="22"/>
        </w:rPr>
        <w:t>.</w:t>
      </w:r>
      <w:r w:rsidR="00D01206">
        <w:rPr>
          <w:rFonts w:cstheme="minorHAnsi"/>
          <w:sz w:val="22"/>
          <w:szCs w:val="22"/>
        </w:rPr>
        <w:t xml:space="preserve"> </w:t>
      </w:r>
      <w:proofErr w:type="gramStart"/>
      <w:r w:rsidR="00D01206">
        <w:rPr>
          <w:rFonts w:cstheme="minorHAnsi"/>
          <w:sz w:val="22"/>
          <w:szCs w:val="22"/>
        </w:rPr>
        <w:t>Therefore</w:t>
      </w:r>
      <w:proofErr w:type="gramEnd"/>
      <w:r w:rsidR="00D01206">
        <w:rPr>
          <w:rFonts w:cstheme="minorHAnsi"/>
          <w:sz w:val="22"/>
          <w:szCs w:val="22"/>
        </w:rPr>
        <w:t xml:space="preserve"> to combat these issues, CMS is</w:t>
      </w:r>
      <w:r w:rsidR="000F29C2" w:rsidRPr="00996E3C">
        <w:rPr>
          <w:rFonts w:cstheme="minorHAnsi"/>
          <w:sz w:val="22"/>
          <w:szCs w:val="22"/>
        </w:rPr>
        <w:t xml:space="preserve"> </w:t>
      </w:r>
      <w:r w:rsidR="00CC7F93" w:rsidRPr="00996E3C">
        <w:rPr>
          <w:rFonts w:cstheme="minorHAnsi"/>
          <w:sz w:val="22"/>
          <w:szCs w:val="22"/>
        </w:rPr>
        <w:t xml:space="preserve">proposing </w:t>
      </w:r>
      <w:r w:rsidR="004D47BE" w:rsidRPr="00996E3C">
        <w:rPr>
          <w:rFonts w:cstheme="minorHAnsi"/>
          <w:sz w:val="22"/>
          <w:szCs w:val="22"/>
        </w:rPr>
        <w:t>3 new requirements</w:t>
      </w:r>
      <w:r w:rsidR="00D01206">
        <w:rPr>
          <w:rFonts w:cstheme="minorHAnsi"/>
          <w:sz w:val="22"/>
          <w:szCs w:val="22"/>
        </w:rPr>
        <w:t xml:space="preserve"> related to marketing and communications</w:t>
      </w:r>
      <w:r w:rsidR="004D47BE" w:rsidRPr="00996E3C">
        <w:rPr>
          <w:rFonts w:cstheme="minorHAnsi"/>
          <w:sz w:val="22"/>
          <w:szCs w:val="22"/>
        </w:rPr>
        <w:t xml:space="preserve">: 1) </w:t>
      </w:r>
      <w:r w:rsidR="000F29C2" w:rsidRPr="00996E3C">
        <w:rPr>
          <w:rFonts w:cstheme="minorHAnsi"/>
          <w:sz w:val="22"/>
          <w:szCs w:val="22"/>
        </w:rPr>
        <w:t xml:space="preserve">TPMOs </w:t>
      </w:r>
      <w:r w:rsidR="00F57476" w:rsidRPr="00996E3C">
        <w:rPr>
          <w:rFonts w:cstheme="minorHAnsi"/>
          <w:sz w:val="22"/>
          <w:szCs w:val="22"/>
        </w:rPr>
        <w:t>must include</w:t>
      </w:r>
      <w:r w:rsidR="007E70AD" w:rsidRPr="00996E3C">
        <w:rPr>
          <w:rFonts w:cstheme="minorHAnsi"/>
          <w:sz w:val="22"/>
          <w:szCs w:val="22"/>
        </w:rPr>
        <w:t xml:space="preserve"> a standard </w:t>
      </w:r>
      <w:r w:rsidR="00E94380" w:rsidRPr="00996E3C">
        <w:rPr>
          <w:rFonts w:cstheme="minorHAnsi"/>
          <w:sz w:val="22"/>
          <w:szCs w:val="22"/>
        </w:rPr>
        <w:t>disclaimer</w:t>
      </w:r>
      <w:r w:rsidR="007E70AD" w:rsidRPr="00996E3C">
        <w:rPr>
          <w:rFonts w:cstheme="minorHAnsi"/>
          <w:sz w:val="22"/>
          <w:szCs w:val="22"/>
        </w:rPr>
        <w:t xml:space="preserve"> noting that not all available plans may be available via the TPMO; 2) plans must ensure the TPMO </w:t>
      </w:r>
      <w:r w:rsidR="00B51718" w:rsidRPr="00996E3C">
        <w:rPr>
          <w:rFonts w:cstheme="minorHAnsi"/>
          <w:sz w:val="22"/>
          <w:szCs w:val="22"/>
        </w:rPr>
        <w:t xml:space="preserve">compliance with requirements; 3) Plan/TPMO </w:t>
      </w:r>
      <w:r w:rsidR="00E94380" w:rsidRPr="00996E3C">
        <w:rPr>
          <w:rFonts w:cstheme="minorHAnsi"/>
          <w:sz w:val="22"/>
          <w:szCs w:val="22"/>
        </w:rPr>
        <w:t>contracts</w:t>
      </w:r>
      <w:r w:rsidR="00B51718" w:rsidRPr="00996E3C">
        <w:rPr>
          <w:rFonts w:cstheme="minorHAnsi"/>
          <w:sz w:val="22"/>
          <w:szCs w:val="22"/>
        </w:rPr>
        <w:t xml:space="preserve"> must disclose any subcontracted relationships for marketing and enrollment. </w:t>
      </w:r>
    </w:p>
    <w:p w14:paraId="4CC23B24" w14:textId="731CFC9B" w:rsidR="00D01206" w:rsidRPr="00996E3C" w:rsidRDefault="005D1A9A" w:rsidP="00D01206">
      <w:pPr>
        <w:pStyle w:val="ListParagraph"/>
        <w:ind w:left="0"/>
        <w:rPr>
          <w:rFonts w:cstheme="minorHAnsi"/>
          <w:sz w:val="22"/>
          <w:szCs w:val="22"/>
        </w:rPr>
      </w:pPr>
      <w:r w:rsidRPr="00996E3C">
        <w:rPr>
          <w:rFonts w:cstheme="minorHAnsi"/>
          <w:sz w:val="22"/>
          <w:szCs w:val="22"/>
        </w:rPr>
        <w:t>LeadingAge members have also heard a number of marketing complaints</w:t>
      </w:r>
      <w:r w:rsidR="00293E7D" w:rsidRPr="00996E3C">
        <w:rPr>
          <w:rFonts w:cstheme="minorHAnsi"/>
          <w:sz w:val="22"/>
          <w:szCs w:val="22"/>
        </w:rPr>
        <w:t xml:space="preserve"> from the older adults they serve regarding the </w:t>
      </w:r>
      <w:r w:rsidR="000A014F">
        <w:rPr>
          <w:rFonts w:cstheme="minorHAnsi"/>
          <w:sz w:val="22"/>
          <w:szCs w:val="22"/>
        </w:rPr>
        <w:t xml:space="preserve">marketing </w:t>
      </w:r>
      <w:r w:rsidR="00293E7D" w:rsidRPr="00996E3C">
        <w:rPr>
          <w:rFonts w:cstheme="minorHAnsi"/>
          <w:sz w:val="22"/>
          <w:szCs w:val="22"/>
        </w:rPr>
        <w:t xml:space="preserve">behavior of </w:t>
      </w:r>
      <w:r w:rsidR="000A014F">
        <w:rPr>
          <w:rFonts w:cstheme="minorHAnsi"/>
          <w:sz w:val="22"/>
          <w:szCs w:val="22"/>
        </w:rPr>
        <w:t xml:space="preserve">some </w:t>
      </w:r>
      <w:r w:rsidR="00293E7D" w:rsidRPr="00996E3C">
        <w:rPr>
          <w:rFonts w:cstheme="minorHAnsi"/>
          <w:sz w:val="22"/>
          <w:szCs w:val="22"/>
        </w:rPr>
        <w:t>Medicare Advantage and Special Needs Plans</w:t>
      </w:r>
      <w:r w:rsidR="00D01206">
        <w:rPr>
          <w:rFonts w:cstheme="minorHAnsi"/>
          <w:sz w:val="22"/>
          <w:szCs w:val="22"/>
        </w:rPr>
        <w:t xml:space="preserve">. </w:t>
      </w:r>
      <w:r w:rsidR="000A014F">
        <w:rPr>
          <w:rFonts w:cstheme="minorHAnsi"/>
          <w:sz w:val="22"/>
          <w:szCs w:val="22"/>
        </w:rPr>
        <w:t>For e</w:t>
      </w:r>
      <w:r w:rsidR="00D01206">
        <w:rPr>
          <w:rFonts w:cstheme="minorHAnsi"/>
          <w:sz w:val="22"/>
          <w:szCs w:val="22"/>
        </w:rPr>
        <w:t>xamples</w:t>
      </w:r>
      <w:r w:rsidR="000A014F">
        <w:rPr>
          <w:rFonts w:cstheme="minorHAnsi"/>
          <w:sz w:val="22"/>
          <w:szCs w:val="22"/>
        </w:rPr>
        <w:t>, in one state,</w:t>
      </w:r>
      <w:r w:rsidR="00293E7D" w:rsidRPr="00996E3C">
        <w:rPr>
          <w:rFonts w:cstheme="minorHAnsi"/>
          <w:sz w:val="22"/>
          <w:szCs w:val="22"/>
        </w:rPr>
        <w:t xml:space="preserve"> </w:t>
      </w:r>
      <w:r w:rsidR="00C36376">
        <w:rPr>
          <w:rFonts w:cstheme="minorHAnsi"/>
          <w:sz w:val="22"/>
          <w:szCs w:val="22"/>
        </w:rPr>
        <w:t xml:space="preserve">a </w:t>
      </w:r>
      <w:r w:rsidR="00D01206">
        <w:rPr>
          <w:rFonts w:cstheme="minorHAnsi"/>
          <w:sz w:val="22"/>
          <w:szCs w:val="22"/>
        </w:rPr>
        <w:t xml:space="preserve">TPMO or </w:t>
      </w:r>
      <w:r w:rsidR="00B01566" w:rsidRPr="00996E3C">
        <w:rPr>
          <w:rFonts w:cstheme="minorHAnsi"/>
          <w:sz w:val="22"/>
          <w:szCs w:val="22"/>
        </w:rPr>
        <w:t xml:space="preserve">plan </w:t>
      </w:r>
      <w:r w:rsidR="00C36376" w:rsidRPr="00996E3C">
        <w:rPr>
          <w:rFonts w:cstheme="minorHAnsi"/>
          <w:sz w:val="22"/>
          <w:szCs w:val="22"/>
        </w:rPr>
        <w:t>sen</w:t>
      </w:r>
      <w:r w:rsidR="00C36376">
        <w:rPr>
          <w:rFonts w:cstheme="minorHAnsi"/>
          <w:sz w:val="22"/>
          <w:szCs w:val="22"/>
        </w:rPr>
        <w:t xml:space="preserve">t </w:t>
      </w:r>
      <w:r w:rsidR="00C36376" w:rsidRPr="00996E3C">
        <w:rPr>
          <w:rFonts w:cstheme="minorHAnsi"/>
          <w:sz w:val="22"/>
          <w:szCs w:val="22"/>
        </w:rPr>
        <w:t>letters</w:t>
      </w:r>
      <w:r w:rsidR="00293E7D" w:rsidRPr="00996E3C">
        <w:rPr>
          <w:rFonts w:cstheme="minorHAnsi"/>
          <w:sz w:val="22"/>
          <w:szCs w:val="22"/>
        </w:rPr>
        <w:t xml:space="preserve"> </w:t>
      </w:r>
      <w:r w:rsidR="00B01566" w:rsidRPr="00996E3C">
        <w:rPr>
          <w:rFonts w:cstheme="minorHAnsi"/>
          <w:sz w:val="22"/>
          <w:szCs w:val="22"/>
        </w:rPr>
        <w:t xml:space="preserve">to older adults </w:t>
      </w:r>
      <w:r w:rsidR="00293E7D" w:rsidRPr="00996E3C">
        <w:rPr>
          <w:rFonts w:cstheme="minorHAnsi"/>
          <w:sz w:val="22"/>
          <w:szCs w:val="22"/>
        </w:rPr>
        <w:t xml:space="preserve">that </w:t>
      </w:r>
      <w:r w:rsidR="00235179" w:rsidRPr="00996E3C">
        <w:rPr>
          <w:rFonts w:cstheme="minorHAnsi"/>
          <w:sz w:val="22"/>
          <w:szCs w:val="22"/>
        </w:rPr>
        <w:t>look as if the</w:t>
      </w:r>
      <w:r w:rsidR="00C36376">
        <w:rPr>
          <w:rFonts w:cstheme="minorHAnsi"/>
          <w:sz w:val="22"/>
          <w:szCs w:val="22"/>
        </w:rPr>
        <w:t xml:space="preserve"> person was already enrolled in the plan </w:t>
      </w:r>
      <w:r w:rsidR="00235179" w:rsidRPr="00996E3C">
        <w:rPr>
          <w:rFonts w:cstheme="minorHAnsi"/>
          <w:sz w:val="22"/>
          <w:szCs w:val="22"/>
        </w:rPr>
        <w:t xml:space="preserve">and </w:t>
      </w:r>
      <w:r w:rsidR="00B01566" w:rsidRPr="00996E3C">
        <w:rPr>
          <w:rFonts w:cstheme="minorHAnsi"/>
          <w:sz w:val="22"/>
          <w:szCs w:val="22"/>
        </w:rPr>
        <w:t>ask</w:t>
      </w:r>
      <w:r w:rsidR="00C36376">
        <w:rPr>
          <w:rFonts w:cstheme="minorHAnsi"/>
          <w:sz w:val="22"/>
          <w:szCs w:val="22"/>
        </w:rPr>
        <w:t xml:space="preserve">ed the person </w:t>
      </w:r>
      <w:r w:rsidR="00B01566" w:rsidRPr="00996E3C">
        <w:rPr>
          <w:rFonts w:cstheme="minorHAnsi"/>
          <w:sz w:val="22"/>
          <w:szCs w:val="22"/>
        </w:rPr>
        <w:t>to complete certain information and return it</w:t>
      </w:r>
      <w:r w:rsidR="00235179" w:rsidRPr="00996E3C">
        <w:rPr>
          <w:rFonts w:cstheme="minorHAnsi"/>
          <w:sz w:val="22"/>
          <w:szCs w:val="22"/>
        </w:rPr>
        <w:t xml:space="preserve">. The recipient of the letter completes the form that looks required only to find out later that they are now enrolled in </w:t>
      </w:r>
      <w:r w:rsidR="00D01206">
        <w:rPr>
          <w:rFonts w:cstheme="minorHAnsi"/>
          <w:sz w:val="22"/>
          <w:szCs w:val="22"/>
        </w:rPr>
        <w:t>a new MA</w:t>
      </w:r>
      <w:r w:rsidR="00235179" w:rsidRPr="00996E3C">
        <w:rPr>
          <w:rFonts w:cstheme="minorHAnsi"/>
          <w:sz w:val="22"/>
          <w:szCs w:val="22"/>
        </w:rPr>
        <w:t xml:space="preserve"> plan. </w:t>
      </w:r>
      <w:r w:rsidR="00CB1A50" w:rsidRPr="00996E3C">
        <w:rPr>
          <w:rFonts w:cstheme="minorHAnsi"/>
          <w:sz w:val="22"/>
          <w:szCs w:val="22"/>
        </w:rPr>
        <w:t xml:space="preserve">Given the situations we’ve heard, we are supportive of efforts to make marketing communications </w:t>
      </w:r>
      <w:r w:rsidR="007249EE" w:rsidRPr="00996E3C">
        <w:rPr>
          <w:rFonts w:cstheme="minorHAnsi"/>
          <w:sz w:val="22"/>
          <w:szCs w:val="22"/>
        </w:rPr>
        <w:t xml:space="preserve">from </w:t>
      </w:r>
      <w:r w:rsidR="00CB1A50" w:rsidRPr="00996E3C">
        <w:rPr>
          <w:rFonts w:cstheme="minorHAnsi"/>
          <w:sz w:val="22"/>
          <w:szCs w:val="22"/>
        </w:rPr>
        <w:t xml:space="preserve">that </w:t>
      </w:r>
      <w:proofErr w:type="gramStart"/>
      <w:r w:rsidR="00D61D7F">
        <w:rPr>
          <w:rFonts w:cstheme="minorHAnsi"/>
          <w:sz w:val="22"/>
          <w:szCs w:val="22"/>
        </w:rPr>
        <w:t xml:space="preserve">TPMOs </w:t>
      </w:r>
      <w:r w:rsidR="00CB1A50" w:rsidRPr="00996E3C">
        <w:rPr>
          <w:rFonts w:cstheme="minorHAnsi"/>
          <w:sz w:val="22"/>
          <w:szCs w:val="22"/>
        </w:rPr>
        <w:t xml:space="preserve"> along</w:t>
      </w:r>
      <w:proofErr w:type="gramEnd"/>
      <w:r w:rsidR="00CB1A50" w:rsidRPr="00996E3C">
        <w:rPr>
          <w:rFonts w:cstheme="minorHAnsi"/>
          <w:sz w:val="22"/>
          <w:szCs w:val="22"/>
        </w:rPr>
        <w:t xml:space="preserve"> with </w:t>
      </w:r>
      <w:r w:rsidR="007249EE" w:rsidRPr="00996E3C">
        <w:rPr>
          <w:rFonts w:cstheme="minorHAnsi"/>
          <w:sz w:val="22"/>
          <w:szCs w:val="22"/>
        </w:rPr>
        <w:t xml:space="preserve">MA/SNP </w:t>
      </w:r>
      <w:r w:rsidR="00CB1A50" w:rsidRPr="00996E3C">
        <w:rPr>
          <w:rFonts w:cstheme="minorHAnsi"/>
          <w:sz w:val="22"/>
          <w:szCs w:val="22"/>
        </w:rPr>
        <w:t>plans</w:t>
      </w:r>
      <w:r w:rsidR="00195293" w:rsidRPr="00996E3C">
        <w:rPr>
          <w:rFonts w:cstheme="minorHAnsi"/>
          <w:sz w:val="22"/>
          <w:szCs w:val="22"/>
        </w:rPr>
        <w:t xml:space="preserve"> clearer</w:t>
      </w:r>
      <w:r w:rsidR="00266C6F">
        <w:rPr>
          <w:rFonts w:cstheme="minorHAnsi"/>
          <w:sz w:val="22"/>
          <w:szCs w:val="22"/>
        </w:rPr>
        <w:t xml:space="preserve"> and minimize these </w:t>
      </w:r>
      <w:r w:rsidR="00266C6F">
        <w:rPr>
          <w:rFonts w:cstheme="minorHAnsi"/>
          <w:sz w:val="22"/>
          <w:szCs w:val="22"/>
        </w:rPr>
        <w:lastRenderedPageBreak/>
        <w:t>tactics from bad actors</w:t>
      </w:r>
      <w:r w:rsidR="007249EE" w:rsidRPr="00996E3C">
        <w:rPr>
          <w:rFonts w:cstheme="minorHAnsi"/>
          <w:sz w:val="22"/>
          <w:szCs w:val="22"/>
        </w:rPr>
        <w:t xml:space="preserve">. </w:t>
      </w:r>
      <w:r w:rsidR="007D557E" w:rsidRPr="00996E3C">
        <w:rPr>
          <w:rFonts w:cstheme="minorHAnsi"/>
          <w:sz w:val="22"/>
          <w:szCs w:val="22"/>
        </w:rPr>
        <w:t xml:space="preserve">In addition, to the proposed changes related to </w:t>
      </w:r>
      <w:r w:rsidR="00D61D7F">
        <w:rPr>
          <w:rFonts w:cstheme="minorHAnsi"/>
          <w:sz w:val="22"/>
          <w:szCs w:val="22"/>
        </w:rPr>
        <w:t xml:space="preserve">TPMOs, </w:t>
      </w:r>
      <w:r w:rsidR="00547661" w:rsidRPr="00996E3C">
        <w:rPr>
          <w:rFonts w:cstheme="minorHAnsi"/>
          <w:sz w:val="22"/>
          <w:szCs w:val="22"/>
        </w:rPr>
        <w:t>we</w:t>
      </w:r>
      <w:r w:rsidR="00195293" w:rsidRPr="00996E3C">
        <w:rPr>
          <w:rFonts w:cstheme="minorHAnsi"/>
          <w:sz w:val="22"/>
          <w:szCs w:val="22"/>
        </w:rPr>
        <w:t xml:space="preserve"> hope </w:t>
      </w:r>
      <w:r w:rsidR="00266C6F">
        <w:rPr>
          <w:rFonts w:cstheme="minorHAnsi"/>
          <w:sz w:val="22"/>
          <w:szCs w:val="22"/>
        </w:rPr>
        <w:t>CMS</w:t>
      </w:r>
      <w:r w:rsidR="00195293" w:rsidRPr="00996E3C">
        <w:rPr>
          <w:rFonts w:cstheme="minorHAnsi"/>
          <w:sz w:val="22"/>
          <w:szCs w:val="22"/>
        </w:rPr>
        <w:t xml:space="preserve"> will consider additional </w:t>
      </w:r>
      <w:r w:rsidR="00ED55C6" w:rsidRPr="00996E3C">
        <w:rPr>
          <w:rFonts w:cstheme="minorHAnsi"/>
          <w:sz w:val="22"/>
          <w:szCs w:val="22"/>
        </w:rPr>
        <w:t>regulation or guidance</w:t>
      </w:r>
      <w:r w:rsidR="00195293" w:rsidRPr="00996E3C">
        <w:rPr>
          <w:rFonts w:cstheme="minorHAnsi"/>
          <w:sz w:val="22"/>
          <w:szCs w:val="22"/>
        </w:rPr>
        <w:t xml:space="preserve"> requiring TPMOs </w:t>
      </w:r>
      <w:r w:rsidR="007D557E" w:rsidRPr="00996E3C">
        <w:rPr>
          <w:rFonts w:cstheme="minorHAnsi"/>
          <w:sz w:val="22"/>
          <w:szCs w:val="22"/>
        </w:rPr>
        <w:t xml:space="preserve">to </w:t>
      </w:r>
      <w:r w:rsidR="00B86630" w:rsidRPr="00996E3C">
        <w:rPr>
          <w:rFonts w:cstheme="minorHAnsi"/>
          <w:sz w:val="22"/>
          <w:szCs w:val="22"/>
        </w:rPr>
        <w:t xml:space="preserve">also </w:t>
      </w:r>
      <w:r w:rsidR="00B64438" w:rsidRPr="00996E3C">
        <w:rPr>
          <w:rFonts w:cstheme="minorHAnsi"/>
          <w:sz w:val="22"/>
          <w:szCs w:val="22"/>
        </w:rPr>
        <w:t xml:space="preserve">disclose that they work for </w:t>
      </w:r>
      <w:r w:rsidR="006F56A2" w:rsidRPr="00996E3C">
        <w:rPr>
          <w:rFonts w:cstheme="minorHAnsi"/>
          <w:sz w:val="22"/>
          <w:szCs w:val="22"/>
        </w:rPr>
        <w:t>one or more insurance</w:t>
      </w:r>
      <w:r w:rsidR="00B64438" w:rsidRPr="00996E3C">
        <w:rPr>
          <w:rFonts w:cstheme="minorHAnsi"/>
          <w:sz w:val="22"/>
          <w:szCs w:val="22"/>
        </w:rPr>
        <w:t xml:space="preserve"> plan</w:t>
      </w:r>
      <w:r w:rsidR="00890F8F" w:rsidRPr="00996E3C">
        <w:rPr>
          <w:rFonts w:cstheme="minorHAnsi"/>
          <w:sz w:val="22"/>
          <w:szCs w:val="22"/>
        </w:rPr>
        <w:t>(s)</w:t>
      </w:r>
      <w:r w:rsidR="00B64438" w:rsidRPr="00996E3C">
        <w:rPr>
          <w:rFonts w:cstheme="minorHAnsi"/>
          <w:sz w:val="22"/>
          <w:szCs w:val="22"/>
        </w:rPr>
        <w:t xml:space="preserve"> and are not independent</w:t>
      </w:r>
      <w:r w:rsidR="00144936" w:rsidRPr="00996E3C">
        <w:rPr>
          <w:rFonts w:cstheme="minorHAnsi"/>
          <w:sz w:val="22"/>
          <w:szCs w:val="22"/>
        </w:rPr>
        <w:t xml:space="preserve"> like a State Health Insurance Assistance Program. </w:t>
      </w:r>
      <w:r w:rsidR="00880E8E" w:rsidRPr="00996E3C">
        <w:rPr>
          <w:rFonts w:cstheme="minorHAnsi"/>
          <w:sz w:val="22"/>
          <w:szCs w:val="22"/>
        </w:rPr>
        <w:t xml:space="preserve">Transparency not trickery should be required when </w:t>
      </w:r>
      <w:r w:rsidR="005202E5" w:rsidRPr="00996E3C">
        <w:rPr>
          <w:rFonts w:cstheme="minorHAnsi"/>
          <w:sz w:val="22"/>
          <w:szCs w:val="22"/>
        </w:rPr>
        <w:t>educating and enrolling beneficiaries.</w:t>
      </w:r>
      <w:r w:rsidR="00266C6F">
        <w:rPr>
          <w:rFonts w:cstheme="minorHAnsi"/>
          <w:sz w:val="22"/>
          <w:szCs w:val="22"/>
        </w:rPr>
        <w:t xml:space="preserve"> Alternatively, CMS </w:t>
      </w:r>
      <w:r w:rsidR="00D01206" w:rsidRPr="00996E3C">
        <w:rPr>
          <w:rFonts w:cstheme="minorHAnsi"/>
          <w:sz w:val="22"/>
          <w:szCs w:val="22"/>
        </w:rPr>
        <w:t xml:space="preserve">might consider </w:t>
      </w:r>
      <w:r w:rsidR="008D76CA">
        <w:rPr>
          <w:rFonts w:cstheme="minorHAnsi"/>
          <w:sz w:val="22"/>
          <w:szCs w:val="22"/>
        </w:rPr>
        <w:t>seeking</w:t>
      </w:r>
      <w:r w:rsidR="00D01206">
        <w:rPr>
          <w:rFonts w:cstheme="minorHAnsi"/>
          <w:sz w:val="22"/>
          <w:szCs w:val="22"/>
        </w:rPr>
        <w:t xml:space="preserve"> additional </w:t>
      </w:r>
      <w:r w:rsidR="00D01206" w:rsidRPr="00996E3C">
        <w:rPr>
          <w:rFonts w:cstheme="minorHAnsi"/>
          <w:sz w:val="22"/>
          <w:szCs w:val="22"/>
        </w:rPr>
        <w:t xml:space="preserve">funding </w:t>
      </w:r>
      <w:r w:rsidR="00D01206">
        <w:rPr>
          <w:rFonts w:cstheme="minorHAnsi"/>
          <w:sz w:val="22"/>
          <w:szCs w:val="22"/>
        </w:rPr>
        <w:t xml:space="preserve">to support </w:t>
      </w:r>
      <w:r w:rsidR="00D01206" w:rsidRPr="00996E3C">
        <w:rPr>
          <w:rFonts w:cstheme="minorHAnsi"/>
          <w:sz w:val="22"/>
          <w:szCs w:val="22"/>
        </w:rPr>
        <w:t xml:space="preserve">State Health Insurance Assistance Programs to ensure unbiased assistance to </w:t>
      </w:r>
      <w:r w:rsidR="004B65BA">
        <w:rPr>
          <w:rFonts w:cstheme="minorHAnsi"/>
          <w:sz w:val="22"/>
          <w:szCs w:val="22"/>
        </w:rPr>
        <w:t xml:space="preserve">all </w:t>
      </w:r>
      <w:r w:rsidR="00BA2FA5">
        <w:rPr>
          <w:rFonts w:cstheme="minorHAnsi"/>
          <w:sz w:val="22"/>
          <w:szCs w:val="22"/>
        </w:rPr>
        <w:t xml:space="preserve">Medicare </w:t>
      </w:r>
      <w:r w:rsidR="00D01206" w:rsidRPr="00996E3C">
        <w:rPr>
          <w:rFonts w:cstheme="minorHAnsi"/>
          <w:sz w:val="22"/>
          <w:szCs w:val="22"/>
        </w:rPr>
        <w:t>beneficiaries</w:t>
      </w:r>
      <w:r w:rsidR="00BA2FA5">
        <w:rPr>
          <w:rFonts w:cstheme="minorHAnsi"/>
          <w:sz w:val="22"/>
          <w:szCs w:val="22"/>
        </w:rPr>
        <w:t xml:space="preserve"> and their families</w:t>
      </w:r>
      <w:r w:rsidR="00C71B16">
        <w:rPr>
          <w:rFonts w:cstheme="minorHAnsi"/>
          <w:sz w:val="22"/>
          <w:szCs w:val="22"/>
        </w:rPr>
        <w:t xml:space="preserve"> and/or expanded promotion of the availability of these programs</w:t>
      </w:r>
      <w:r w:rsidR="00D01206" w:rsidRPr="00996E3C">
        <w:rPr>
          <w:rFonts w:cstheme="minorHAnsi"/>
          <w:sz w:val="22"/>
          <w:szCs w:val="22"/>
        </w:rPr>
        <w:t xml:space="preserve">. </w:t>
      </w:r>
    </w:p>
    <w:p w14:paraId="5A3B07F4" w14:textId="77777777" w:rsidR="00570FE1" w:rsidRPr="00996E3C" w:rsidRDefault="00570FE1" w:rsidP="00570FE1">
      <w:pPr>
        <w:rPr>
          <w:rFonts w:cstheme="minorHAnsi"/>
          <w:b/>
          <w:bCs/>
          <w:sz w:val="22"/>
          <w:szCs w:val="22"/>
        </w:rPr>
      </w:pPr>
    </w:p>
    <w:p w14:paraId="6E2C0B77" w14:textId="0CAB8E3A" w:rsidR="00782073" w:rsidRDefault="00D9062F" w:rsidP="00570FE1">
      <w:pPr>
        <w:rPr>
          <w:rFonts w:cstheme="minorHAnsi"/>
          <w:sz w:val="22"/>
          <w:szCs w:val="22"/>
        </w:rPr>
      </w:pPr>
      <w:r w:rsidRPr="00F57476">
        <w:rPr>
          <w:rFonts w:cstheme="minorHAnsi"/>
          <w:b/>
          <w:bCs/>
          <w:i/>
          <w:iCs/>
          <w:sz w:val="22"/>
          <w:szCs w:val="22"/>
        </w:rPr>
        <w:t xml:space="preserve">Clarifying </w:t>
      </w:r>
      <w:r w:rsidR="008B733B">
        <w:rPr>
          <w:rFonts w:cstheme="minorHAnsi"/>
          <w:b/>
          <w:bCs/>
          <w:i/>
          <w:iCs/>
          <w:sz w:val="22"/>
          <w:szCs w:val="22"/>
        </w:rPr>
        <w:t>R</w:t>
      </w:r>
      <w:r w:rsidRPr="00F57476">
        <w:rPr>
          <w:rFonts w:cstheme="minorHAnsi"/>
          <w:b/>
          <w:bCs/>
          <w:i/>
          <w:iCs/>
          <w:sz w:val="22"/>
          <w:szCs w:val="22"/>
        </w:rPr>
        <w:t>equirements on Access to Care During Disasters and Emergencies</w:t>
      </w:r>
      <w:r w:rsidRPr="00996E3C">
        <w:rPr>
          <w:rFonts w:cstheme="minorHAnsi"/>
          <w:sz w:val="22"/>
          <w:szCs w:val="22"/>
        </w:rPr>
        <w:t xml:space="preserve"> </w:t>
      </w:r>
    </w:p>
    <w:p w14:paraId="3064DA4C" w14:textId="5727D9A4" w:rsidR="00987F4E" w:rsidRDefault="00782073" w:rsidP="00B5451A">
      <w:pPr>
        <w:rPr>
          <w:rFonts w:cstheme="minorHAnsi"/>
          <w:sz w:val="22"/>
          <w:szCs w:val="22"/>
        </w:rPr>
      </w:pPr>
      <w:r>
        <w:rPr>
          <w:rFonts w:cstheme="minorHAnsi"/>
          <w:sz w:val="22"/>
          <w:szCs w:val="22"/>
        </w:rPr>
        <w:t>We greatly appreciate CMS proposals to make the application of section 422</w:t>
      </w:r>
      <w:r w:rsidR="000F0B0A">
        <w:rPr>
          <w:rFonts w:cstheme="minorHAnsi"/>
          <w:sz w:val="22"/>
          <w:szCs w:val="22"/>
        </w:rPr>
        <w:t>.</w:t>
      </w:r>
      <w:r>
        <w:rPr>
          <w:rFonts w:cstheme="minorHAnsi"/>
          <w:sz w:val="22"/>
          <w:szCs w:val="22"/>
        </w:rPr>
        <w:t xml:space="preserve">100(m) more clear. </w:t>
      </w:r>
      <w:r w:rsidR="007F3A90" w:rsidRPr="00996E3C">
        <w:rPr>
          <w:rFonts w:cstheme="minorHAnsi"/>
          <w:sz w:val="22"/>
          <w:szCs w:val="22"/>
        </w:rPr>
        <w:t xml:space="preserve">We, too, have observed </w:t>
      </w:r>
      <w:r w:rsidR="00B5451A">
        <w:rPr>
          <w:rFonts w:cstheme="minorHAnsi"/>
          <w:sz w:val="22"/>
          <w:szCs w:val="22"/>
        </w:rPr>
        <w:t xml:space="preserve">and experienced </w:t>
      </w:r>
      <w:r w:rsidR="007F3A90" w:rsidRPr="00996E3C">
        <w:rPr>
          <w:rFonts w:cstheme="minorHAnsi"/>
          <w:sz w:val="22"/>
          <w:szCs w:val="22"/>
        </w:rPr>
        <w:t>the ambiguity in the applicability of section 422.100(m)</w:t>
      </w:r>
      <w:r w:rsidR="00F65DB2">
        <w:rPr>
          <w:rFonts w:cstheme="minorHAnsi"/>
          <w:sz w:val="22"/>
          <w:szCs w:val="22"/>
        </w:rPr>
        <w:t xml:space="preserve"> during the current national Public Health Emergency (PHE)</w:t>
      </w:r>
      <w:r w:rsidR="007F3A90" w:rsidRPr="00996E3C">
        <w:rPr>
          <w:rFonts w:cstheme="minorHAnsi"/>
          <w:sz w:val="22"/>
          <w:szCs w:val="22"/>
        </w:rPr>
        <w:t xml:space="preserve">. </w:t>
      </w:r>
      <w:r w:rsidR="00ED5EF3" w:rsidRPr="00996E3C">
        <w:rPr>
          <w:rFonts w:cstheme="minorHAnsi"/>
          <w:sz w:val="22"/>
          <w:szCs w:val="22"/>
        </w:rPr>
        <w:t xml:space="preserve">One particular area of concern </w:t>
      </w:r>
      <w:r w:rsidR="00630E23" w:rsidRPr="00996E3C">
        <w:rPr>
          <w:rFonts w:cstheme="minorHAnsi"/>
          <w:sz w:val="22"/>
          <w:szCs w:val="22"/>
        </w:rPr>
        <w:t xml:space="preserve">our provider members have encountered </w:t>
      </w:r>
      <w:r w:rsidR="00ED5EF3" w:rsidRPr="00996E3C">
        <w:rPr>
          <w:rFonts w:cstheme="minorHAnsi"/>
          <w:sz w:val="22"/>
          <w:szCs w:val="22"/>
        </w:rPr>
        <w:t xml:space="preserve">is the interplay when there is a </w:t>
      </w:r>
      <w:r w:rsidR="00987F4E">
        <w:rPr>
          <w:rFonts w:cstheme="minorHAnsi"/>
          <w:sz w:val="22"/>
          <w:szCs w:val="22"/>
        </w:rPr>
        <w:t xml:space="preserve">both a </w:t>
      </w:r>
      <w:r w:rsidR="00ED5EF3" w:rsidRPr="00996E3C">
        <w:rPr>
          <w:rFonts w:cstheme="minorHAnsi"/>
          <w:sz w:val="22"/>
          <w:szCs w:val="22"/>
        </w:rPr>
        <w:t>declared national or public health emergency</w:t>
      </w:r>
      <w:r w:rsidR="00987F4E">
        <w:rPr>
          <w:rFonts w:cstheme="minorHAnsi"/>
          <w:sz w:val="22"/>
          <w:szCs w:val="22"/>
        </w:rPr>
        <w:t>,</w:t>
      </w:r>
      <w:r w:rsidR="00ED5EF3" w:rsidRPr="00996E3C">
        <w:rPr>
          <w:rFonts w:cstheme="minorHAnsi"/>
          <w:sz w:val="22"/>
          <w:szCs w:val="22"/>
        </w:rPr>
        <w:t xml:space="preserve"> and a state emergency. </w:t>
      </w:r>
      <w:r w:rsidR="00F461A1" w:rsidRPr="00996E3C">
        <w:rPr>
          <w:rFonts w:cstheme="minorHAnsi"/>
          <w:sz w:val="22"/>
          <w:szCs w:val="22"/>
        </w:rPr>
        <w:t xml:space="preserve">In these situations, </w:t>
      </w:r>
      <w:r w:rsidR="00987F4E">
        <w:rPr>
          <w:rFonts w:cstheme="minorHAnsi"/>
          <w:sz w:val="22"/>
          <w:szCs w:val="22"/>
        </w:rPr>
        <w:t xml:space="preserve">plans and providers alike are uncertain </w:t>
      </w:r>
      <w:r w:rsidR="00F461A1" w:rsidRPr="00996E3C">
        <w:rPr>
          <w:rFonts w:cstheme="minorHAnsi"/>
          <w:sz w:val="22"/>
          <w:szCs w:val="22"/>
        </w:rPr>
        <w:t xml:space="preserve">if the special requirements </w:t>
      </w:r>
      <w:r w:rsidR="000F0B0A">
        <w:rPr>
          <w:rFonts w:cstheme="minorHAnsi"/>
          <w:sz w:val="22"/>
          <w:szCs w:val="22"/>
        </w:rPr>
        <w:t xml:space="preserve">under section 422.100(m) </w:t>
      </w:r>
      <w:r w:rsidR="00F461A1" w:rsidRPr="00996E3C">
        <w:rPr>
          <w:rFonts w:cstheme="minorHAnsi"/>
          <w:sz w:val="22"/>
          <w:szCs w:val="22"/>
        </w:rPr>
        <w:t>apply</w:t>
      </w:r>
      <w:r w:rsidR="00CA0528">
        <w:rPr>
          <w:rFonts w:cstheme="minorHAnsi"/>
          <w:sz w:val="22"/>
          <w:szCs w:val="22"/>
        </w:rPr>
        <w:t xml:space="preserve"> when one ends and one continues</w:t>
      </w:r>
      <w:r w:rsidR="00F461A1" w:rsidRPr="00996E3C">
        <w:rPr>
          <w:rFonts w:cstheme="minorHAnsi"/>
          <w:sz w:val="22"/>
          <w:szCs w:val="22"/>
        </w:rPr>
        <w:t xml:space="preserve">. </w:t>
      </w:r>
    </w:p>
    <w:p w14:paraId="47DD4379" w14:textId="77777777" w:rsidR="000F0B0A" w:rsidRDefault="000F0B0A" w:rsidP="00741A4A">
      <w:pPr>
        <w:pStyle w:val="ListParagraph"/>
        <w:ind w:left="0"/>
        <w:rPr>
          <w:rFonts w:cstheme="minorHAnsi"/>
          <w:sz w:val="22"/>
          <w:szCs w:val="22"/>
        </w:rPr>
      </w:pPr>
    </w:p>
    <w:p w14:paraId="49BB6F24" w14:textId="1090DB8E" w:rsidR="00741A4A" w:rsidRDefault="00741A4A" w:rsidP="00741A4A">
      <w:pPr>
        <w:pStyle w:val="ListParagraph"/>
        <w:ind w:left="0"/>
        <w:rPr>
          <w:rFonts w:cstheme="minorHAnsi"/>
          <w:sz w:val="22"/>
          <w:szCs w:val="22"/>
        </w:rPr>
      </w:pPr>
      <w:r w:rsidRPr="00996E3C">
        <w:rPr>
          <w:rFonts w:cstheme="minorHAnsi"/>
          <w:sz w:val="22"/>
          <w:szCs w:val="22"/>
        </w:rPr>
        <w:t>We see that CMS’s proposed changes</w:t>
      </w:r>
      <w:r w:rsidR="00CA3694">
        <w:rPr>
          <w:rFonts w:cstheme="minorHAnsi"/>
          <w:sz w:val="22"/>
          <w:szCs w:val="22"/>
        </w:rPr>
        <w:t xml:space="preserve"> amend</w:t>
      </w:r>
      <w:r w:rsidR="00A93161">
        <w:rPr>
          <w:rFonts w:cstheme="minorHAnsi"/>
          <w:sz w:val="22"/>
          <w:szCs w:val="22"/>
        </w:rPr>
        <w:t xml:space="preserve"> the current regulations</w:t>
      </w:r>
      <w:r w:rsidRPr="00996E3C">
        <w:rPr>
          <w:rFonts w:cstheme="minorHAnsi"/>
          <w:sz w:val="22"/>
          <w:szCs w:val="22"/>
        </w:rPr>
        <w:t xml:space="preserve"> </w:t>
      </w:r>
      <w:r w:rsidR="00CA3694">
        <w:rPr>
          <w:rFonts w:cstheme="minorHAnsi"/>
          <w:sz w:val="22"/>
          <w:szCs w:val="22"/>
        </w:rPr>
        <w:t>by adding a second</w:t>
      </w:r>
      <w:r w:rsidRPr="00996E3C">
        <w:rPr>
          <w:rFonts w:cstheme="minorHAnsi"/>
          <w:sz w:val="22"/>
          <w:szCs w:val="22"/>
        </w:rPr>
        <w:t xml:space="preserve"> </w:t>
      </w:r>
      <w:r w:rsidR="00C763A1">
        <w:rPr>
          <w:rFonts w:cstheme="minorHAnsi"/>
          <w:sz w:val="22"/>
          <w:szCs w:val="22"/>
        </w:rPr>
        <w:t xml:space="preserve">criteria – “disruption in access to health care” -- that must be met for the special requirements </w:t>
      </w:r>
      <w:r w:rsidRPr="00996E3C">
        <w:rPr>
          <w:rFonts w:cstheme="minorHAnsi"/>
          <w:sz w:val="22"/>
          <w:szCs w:val="22"/>
        </w:rPr>
        <w:t xml:space="preserve">for </w:t>
      </w:r>
      <w:r>
        <w:rPr>
          <w:rFonts w:cstheme="minorHAnsi"/>
          <w:sz w:val="22"/>
          <w:szCs w:val="22"/>
        </w:rPr>
        <w:t>access to</w:t>
      </w:r>
      <w:r w:rsidRPr="00996E3C">
        <w:rPr>
          <w:rFonts w:cstheme="minorHAnsi"/>
          <w:sz w:val="22"/>
          <w:szCs w:val="22"/>
        </w:rPr>
        <w:t xml:space="preserve"> non-contracted provider</w:t>
      </w:r>
      <w:r>
        <w:rPr>
          <w:rFonts w:cstheme="minorHAnsi"/>
          <w:sz w:val="22"/>
          <w:szCs w:val="22"/>
        </w:rPr>
        <w:t>s</w:t>
      </w:r>
      <w:r w:rsidRPr="00996E3C">
        <w:rPr>
          <w:rFonts w:cstheme="minorHAnsi"/>
          <w:sz w:val="22"/>
          <w:szCs w:val="22"/>
        </w:rPr>
        <w:t xml:space="preserve"> to be </w:t>
      </w:r>
      <w:r w:rsidR="000F0B0A">
        <w:rPr>
          <w:rFonts w:cstheme="minorHAnsi"/>
          <w:sz w:val="22"/>
          <w:szCs w:val="22"/>
        </w:rPr>
        <w:t>triggered</w:t>
      </w:r>
      <w:r w:rsidRPr="00996E3C">
        <w:rPr>
          <w:rFonts w:cstheme="minorHAnsi"/>
          <w:sz w:val="22"/>
          <w:szCs w:val="22"/>
        </w:rPr>
        <w:t xml:space="preserve">. While this </w:t>
      </w:r>
      <w:r w:rsidR="000F0B0A">
        <w:rPr>
          <w:rFonts w:cstheme="minorHAnsi"/>
          <w:sz w:val="22"/>
          <w:szCs w:val="22"/>
        </w:rPr>
        <w:t>narrows</w:t>
      </w:r>
      <w:r w:rsidRPr="00996E3C">
        <w:rPr>
          <w:rFonts w:cstheme="minorHAnsi"/>
          <w:sz w:val="22"/>
          <w:szCs w:val="22"/>
        </w:rPr>
        <w:t xml:space="preserve"> the application of the special requirements, </w:t>
      </w:r>
      <w:r w:rsidR="00FB14D8">
        <w:rPr>
          <w:rFonts w:cstheme="minorHAnsi"/>
          <w:sz w:val="22"/>
          <w:szCs w:val="22"/>
        </w:rPr>
        <w:t xml:space="preserve">this additional caveat seems to address the real issue which is enrollee access to care. </w:t>
      </w:r>
      <w:r w:rsidR="00CC6D19">
        <w:rPr>
          <w:rFonts w:cstheme="minorHAnsi"/>
          <w:sz w:val="22"/>
          <w:szCs w:val="22"/>
        </w:rPr>
        <w:t xml:space="preserve">In addition, </w:t>
      </w:r>
      <w:r w:rsidRPr="00996E3C">
        <w:rPr>
          <w:rFonts w:cstheme="minorHAnsi"/>
          <w:sz w:val="22"/>
          <w:szCs w:val="22"/>
        </w:rPr>
        <w:t xml:space="preserve">CMS appears to be taking a broad view of what constitutes </w:t>
      </w:r>
      <w:r>
        <w:rPr>
          <w:rFonts w:cstheme="minorHAnsi"/>
          <w:sz w:val="22"/>
          <w:szCs w:val="22"/>
        </w:rPr>
        <w:t>“</w:t>
      </w:r>
      <w:r w:rsidRPr="00996E3C">
        <w:rPr>
          <w:rFonts w:cstheme="minorHAnsi"/>
          <w:sz w:val="22"/>
          <w:szCs w:val="22"/>
        </w:rPr>
        <w:t>disruption in access to health care</w:t>
      </w:r>
      <w:r>
        <w:rPr>
          <w:rFonts w:cstheme="minorHAnsi"/>
          <w:sz w:val="22"/>
          <w:szCs w:val="22"/>
        </w:rPr>
        <w:t>”</w:t>
      </w:r>
      <w:r w:rsidRPr="00996E3C">
        <w:rPr>
          <w:rFonts w:cstheme="minorHAnsi"/>
          <w:sz w:val="22"/>
          <w:szCs w:val="22"/>
        </w:rPr>
        <w:t xml:space="preserve"> </w:t>
      </w:r>
      <w:r w:rsidR="00D8467E">
        <w:rPr>
          <w:rFonts w:cstheme="minorHAnsi"/>
          <w:sz w:val="22"/>
          <w:szCs w:val="22"/>
        </w:rPr>
        <w:t xml:space="preserve">going </w:t>
      </w:r>
      <w:r w:rsidRPr="00996E3C">
        <w:rPr>
          <w:rFonts w:cstheme="minorHAnsi"/>
          <w:sz w:val="22"/>
          <w:szCs w:val="22"/>
        </w:rPr>
        <w:t xml:space="preserve">beyond just physical barriers. </w:t>
      </w:r>
      <w:r w:rsidR="00CC6D19">
        <w:rPr>
          <w:rFonts w:cstheme="minorHAnsi"/>
          <w:sz w:val="22"/>
          <w:szCs w:val="22"/>
        </w:rPr>
        <w:t>Based upon</w:t>
      </w:r>
      <w:r w:rsidRPr="00996E3C">
        <w:rPr>
          <w:rFonts w:cstheme="minorHAnsi"/>
          <w:sz w:val="22"/>
          <w:szCs w:val="22"/>
        </w:rPr>
        <w:t xml:space="preserve"> the CMS narrative on this provision, we believe this would include staffing shortages that limit access to contracted beds, such as has occurred during COVID-19 pandemic. We also appreciate that that</w:t>
      </w:r>
      <w:r w:rsidR="00BC74D9">
        <w:rPr>
          <w:rFonts w:cstheme="minorHAnsi"/>
          <w:sz w:val="22"/>
          <w:szCs w:val="22"/>
        </w:rPr>
        <w:t xml:space="preserve"> “disruption in access to health care” includes</w:t>
      </w:r>
      <w:r w:rsidRPr="00996E3C">
        <w:rPr>
          <w:rFonts w:cstheme="minorHAnsi"/>
          <w:sz w:val="22"/>
          <w:szCs w:val="22"/>
        </w:rPr>
        <w:t xml:space="preserve"> </w:t>
      </w:r>
      <w:r w:rsidR="001B2D84">
        <w:rPr>
          <w:rFonts w:cstheme="minorHAnsi"/>
          <w:sz w:val="22"/>
          <w:szCs w:val="22"/>
        </w:rPr>
        <w:t xml:space="preserve">language </w:t>
      </w:r>
      <w:r w:rsidR="00F87D3C">
        <w:rPr>
          <w:rFonts w:cstheme="minorHAnsi"/>
          <w:sz w:val="22"/>
          <w:szCs w:val="22"/>
        </w:rPr>
        <w:t xml:space="preserve">about plans inability </w:t>
      </w:r>
      <w:proofErr w:type="gramStart"/>
      <w:r w:rsidRPr="00996E3C">
        <w:rPr>
          <w:rFonts w:cstheme="minorHAnsi"/>
          <w:sz w:val="22"/>
          <w:szCs w:val="22"/>
        </w:rPr>
        <w:t>“ to</w:t>
      </w:r>
      <w:proofErr w:type="gramEnd"/>
      <w:r w:rsidRPr="00996E3C">
        <w:rPr>
          <w:rFonts w:cstheme="minorHAnsi"/>
          <w:sz w:val="22"/>
          <w:szCs w:val="22"/>
        </w:rPr>
        <w:t xml:space="preserve"> meet the </w:t>
      </w:r>
      <w:r w:rsidR="00B87672">
        <w:rPr>
          <w:rFonts w:cstheme="minorHAnsi"/>
          <w:sz w:val="22"/>
          <w:szCs w:val="22"/>
        </w:rPr>
        <w:t xml:space="preserve">normal </w:t>
      </w:r>
      <w:r w:rsidRPr="00996E3C">
        <w:rPr>
          <w:rFonts w:cstheme="minorHAnsi"/>
          <w:sz w:val="22"/>
          <w:szCs w:val="22"/>
        </w:rPr>
        <w:t>prevailing patterns of community health care delivery in the service area</w:t>
      </w:r>
      <w:r w:rsidR="00426E67">
        <w:rPr>
          <w:rFonts w:cstheme="minorHAnsi"/>
          <w:sz w:val="22"/>
          <w:szCs w:val="22"/>
        </w:rPr>
        <w:t>.</w:t>
      </w:r>
      <w:r w:rsidRPr="00996E3C">
        <w:rPr>
          <w:rFonts w:cstheme="minorHAnsi"/>
          <w:sz w:val="22"/>
          <w:szCs w:val="22"/>
        </w:rPr>
        <w:t>”</w:t>
      </w:r>
      <w:r w:rsidR="00426E67">
        <w:rPr>
          <w:rFonts w:cstheme="minorHAnsi"/>
          <w:sz w:val="22"/>
          <w:szCs w:val="22"/>
        </w:rPr>
        <w:t xml:space="preserve"> CMS notes that “prevailing patterns”</w:t>
      </w:r>
      <w:r w:rsidRPr="00996E3C">
        <w:rPr>
          <w:rFonts w:cstheme="minorHAnsi"/>
          <w:sz w:val="22"/>
          <w:szCs w:val="22"/>
        </w:rPr>
        <w:t xml:space="preserve"> refers to </w:t>
      </w:r>
      <w:r>
        <w:rPr>
          <w:rFonts w:cstheme="minorHAnsi"/>
          <w:sz w:val="22"/>
          <w:szCs w:val="22"/>
        </w:rPr>
        <w:t>a</w:t>
      </w:r>
      <w:r w:rsidRPr="00996E3C">
        <w:rPr>
          <w:rFonts w:cstheme="minorHAnsi"/>
          <w:sz w:val="22"/>
          <w:szCs w:val="22"/>
        </w:rPr>
        <w:t xml:space="preserve"> pre-disaster or </w:t>
      </w:r>
      <w:r w:rsidR="00426E67">
        <w:rPr>
          <w:rFonts w:cstheme="minorHAnsi"/>
          <w:sz w:val="22"/>
          <w:szCs w:val="22"/>
        </w:rPr>
        <w:t>pre-</w:t>
      </w:r>
      <w:r w:rsidRPr="00996E3C">
        <w:rPr>
          <w:rFonts w:cstheme="minorHAnsi"/>
          <w:sz w:val="22"/>
          <w:szCs w:val="22"/>
        </w:rPr>
        <w:t>emergency standard</w:t>
      </w:r>
      <w:r>
        <w:rPr>
          <w:rFonts w:cstheme="minorHAnsi"/>
          <w:sz w:val="22"/>
          <w:szCs w:val="22"/>
        </w:rPr>
        <w:t xml:space="preserve"> not the current pattern in an emergency</w:t>
      </w:r>
      <w:r w:rsidR="00616EDC">
        <w:rPr>
          <w:rFonts w:cstheme="minorHAnsi"/>
          <w:sz w:val="22"/>
          <w:szCs w:val="22"/>
        </w:rPr>
        <w:t>.</w:t>
      </w:r>
      <w:r w:rsidR="00355EAF">
        <w:rPr>
          <w:rFonts w:cstheme="minorHAnsi"/>
          <w:sz w:val="22"/>
          <w:szCs w:val="22"/>
        </w:rPr>
        <w:t xml:space="preserve"> This is a helpful and important clarification.</w:t>
      </w:r>
      <w:r w:rsidRPr="00996E3C">
        <w:rPr>
          <w:rFonts w:cstheme="minorHAnsi"/>
          <w:sz w:val="22"/>
          <w:szCs w:val="22"/>
        </w:rPr>
        <w:t xml:space="preserve"> </w:t>
      </w:r>
    </w:p>
    <w:p w14:paraId="03DF8EB7" w14:textId="77777777" w:rsidR="00D476D0" w:rsidRDefault="00D476D0" w:rsidP="00741A4A">
      <w:pPr>
        <w:pStyle w:val="ListParagraph"/>
        <w:ind w:left="0"/>
        <w:rPr>
          <w:rFonts w:cstheme="minorHAnsi"/>
          <w:sz w:val="22"/>
          <w:szCs w:val="22"/>
        </w:rPr>
      </w:pPr>
    </w:p>
    <w:p w14:paraId="73D85F66" w14:textId="054E87E1" w:rsidR="00D476D0" w:rsidRDefault="00D476D0" w:rsidP="00741A4A">
      <w:pPr>
        <w:pStyle w:val="ListParagraph"/>
        <w:ind w:left="0"/>
        <w:rPr>
          <w:rFonts w:cstheme="minorHAnsi"/>
          <w:sz w:val="22"/>
          <w:szCs w:val="22"/>
        </w:rPr>
      </w:pPr>
      <w:r w:rsidRPr="00996E3C">
        <w:rPr>
          <w:rFonts w:cstheme="minorHAnsi"/>
          <w:sz w:val="22"/>
          <w:szCs w:val="22"/>
        </w:rPr>
        <w:t xml:space="preserve">We </w:t>
      </w:r>
      <w:r>
        <w:rPr>
          <w:rFonts w:cstheme="minorHAnsi"/>
          <w:sz w:val="22"/>
          <w:szCs w:val="22"/>
        </w:rPr>
        <w:t xml:space="preserve">also think </w:t>
      </w:r>
      <w:r w:rsidRPr="00996E3C">
        <w:rPr>
          <w:rFonts w:cstheme="minorHAnsi"/>
          <w:sz w:val="22"/>
          <w:szCs w:val="22"/>
        </w:rPr>
        <w:t xml:space="preserve">the </w:t>
      </w:r>
      <w:r>
        <w:rPr>
          <w:rFonts w:cstheme="minorHAnsi"/>
          <w:sz w:val="22"/>
          <w:szCs w:val="22"/>
        </w:rPr>
        <w:t xml:space="preserve">clarification that the special requirements are in effect for </w:t>
      </w:r>
      <w:r w:rsidRPr="00996E3C">
        <w:rPr>
          <w:rFonts w:cstheme="minorHAnsi"/>
          <w:sz w:val="22"/>
          <w:szCs w:val="22"/>
        </w:rPr>
        <w:t xml:space="preserve">a 30-day minimum period </w:t>
      </w:r>
      <w:r>
        <w:rPr>
          <w:rFonts w:cstheme="minorHAnsi"/>
          <w:sz w:val="22"/>
          <w:szCs w:val="22"/>
        </w:rPr>
        <w:t xml:space="preserve">is </w:t>
      </w:r>
      <w:proofErr w:type="gramStart"/>
      <w:r>
        <w:rPr>
          <w:rFonts w:cstheme="minorHAnsi"/>
          <w:sz w:val="22"/>
          <w:szCs w:val="22"/>
        </w:rPr>
        <w:t>helpful</w:t>
      </w:r>
      <w:proofErr w:type="gramEnd"/>
      <w:r>
        <w:rPr>
          <w:rFonts w:cstheme="minorHAnsi"/>
          <w:sz w:val="22"/>
          <w:szCs w:val="22"/>
        </w:rPr>
        <w:t xml:space="preserve"> but </w:t>
      </w:r>
      <w:r w:rsidR="00EC76B3">
        <w:rPr>
          <w:rFonts w:cstheme="minorHAnsi"/>
          <w:sz w:val="22"/>
          <w:szCs w:val="22"/>
        </w:rPr>
        <w:t xml:space="preserve">we </w:t>
      </w:r>
      <w:r>
        <w:rPr>
          <w:rFonts w:cstheme="minorHAnsi"/>
          <w:sz w:val="22"/>
          <w:szCs w:val="22"/>
        </w:rPr>
        <w:t>have concerns about the effects on beneficiaries</w:t>
      </w:r>
      <w:r w:rsidRPr="00996E3C">
        <w:rPr>
          <w:rFonts w:cstheme="minorHAnsi"/>
          <w:sz w:val="22"/>
          <w:szCs w:val="22"/>
        </w:rPr>
        <w:t xml:space="preserve">. CMS discusses this </w:t>
      </w:r>
      <w:r>
        <w:rPr>
          <w:rFonts w:cstheme="minorHAnsi"/>
          <w:sz w:val="22"/>
          <w:szCs w:val="22"/>
        </w:rPr>
        <w:t xml:space="preserve">30-day period of applicability </w:t>
      </w:r>
      <w:r w:rsidRPr="00996E3C">
        <w:rPr>
          <w:rFonts w:cstheme="minorHAnsi"/>
          <w:sz w:val="22"/>
          <w:szCs w:val="22"/>
        </w:rPr>
        <w:t xml:space="preserve">as a transitional period but seems to imply that a plan could require an enrollee to switch from receiving services or treatment from a non-contracted provider to a contracted provider during this timeframe. We would urge caution permitting plans to require a beneficiary to transition from an existing provider to </w:t>
      </w:r>
      <w:proofErr w:type="gramStart"/>
      <w:r w:rsidRPr="00996E3C">
        <w:rPr>
          <w:rFonts w:cstheme="minorHAnsi"/>
          <w:sz w:val="22"/>
          <w:szCs w:val="22"/>
        </w:rPr>
        <w:t xml:space="preserve">a </w:t>
      </w:r>
      <w:r w:rsidR="00EC76B3">
        <w:rPr>
          <w:rFonts w:cstheme="minorHAnsi"/>
          <w:sz w:val="22"/>
          <w:szCs w:val="22"/>
        </w:rPr>
        <w:t>another</w:t>
      </w:r>
      <w:proofErr w:type="gramEnd"/>
      <w:r w:rsidRPr="00996E3C">
        <w:rPr>
          <w:rFonts w:cstheme="minorHAnsi"/>
          <w:sz w:val="22"/>
          <w:szCs w:val="22"/>
        </w:rPr>
        <w:t xml:space="preserve"> provider solely because they are in-network. We ask that CMS clarify whether there are other beneficiary protections </w:t>
      </w:r>
      <w:r w:rsidR="00EC76B3">
        <w:rPr>
          <w:rFonts w:cstheme="minorHAnsi"/>
          <w:sz w:val="22"/>
          <w:szCs w:val="22"/>
        </w:rPr>
        <w:t xml:space="preserve">currently in regulation to protect against this potential </w:t>
      </w:r>
      <w:r w:rsidRPr="00996E3C">
        <w:rPr>
          <w:rFonts w:cstheme="minorHAnsi"/>
          <w:sz w:val="22"/>
          <w:szCs w:val="22"/>
        </w:rPr>
        <w:t xml:space="preserve">disruption in care </w:t>
      </w:r>
      <w:r w:rsidR="00BE1DC4">
        <w:rPr>
          <w:rFonts w:cstheme="minorHAnsi"/>
          <w:sz w:val="22"/>
          <w:szCs w:val="22"/>
        </w:rPr>
        <w:t xml:space="preserve">or ask that CMS add language to ensure such a beneficiary protection. We know </w:t>
      </w:r>
      <w:r w:rsidR="00D91816">
        <w:rPr>
          <w:rFonts w:cstheme="minorHAnsi"/>
          <w:sz w:val="22"/>
          <w:szCs w:val="22"/>
        </w:rPr>
        <w:t xml:space="preserve">how important continuity of care is to a patient’s success and recovery so changing providers midstream </w:t>
      </w:r>
      <w:r w:rsidRPr="00996E3C">
        <w:rPr>
          <w:rFonts w:cstheme="minorHAnsi"/>
          <w:sz w:val="22"/>
          <w:szCs w:val="22"/>
        </w:rPr>
        <w:t xml:space="preserve">may be disruptive </w:t>
      </w:r>
      <w:r w:rsidR="00D91816">
        <w:rPr>
          <w:rFonts w:cstheme="minorHAnsi"/>
          <w:sz w:val="22"/>
          <w:szCs w:val="22"/>
        </w:rPr>
        <w:t>and</w:t>
      </w:r>
      <w:r w:rsidRPr="00996E3C">
        <w:rPr>
          <w:rFonts w:cstheme="minorHAnsi"/>
          <w:sz w:val="22"/>
          <w:szCs w:val="22"/>
        </w:rPr>
        <w:t xml:space="preserve"> actually lead to complications or extending the individual’s need for services. We ask that CMS consider the need for continuity of care</w:t>
      </w:r>
      <w:r>
        <w:rPr>
          <w:rFonts w:cstheme="minorHAnsi"/>
          <w:sz w:val="22"/>
          <w:szCs w:val="22"/>
        </w:rPr>
        <w:t xml:space="preserve"> as part of these transitions</w:t>
      </w:r>
      <w:r w:rsidRPr="00996E3C">
        <w:rPr>
          <w:rFonts w:cstheme="minorHAnsi"/>
          <w:sz w:val="22"/>
          <w:szCs w:val="22"/>
        </w:rPr>
        <w:t xml:space="preserve">. </w:t>
      </w:r>
    </w:p>
    <w:p w14:paraId="78B1D627" w14:textId="77777777" w:rsidR="0066398B" w:rsidRDefault="0066398B" w:rsidP="00741A4A">
      <w:pPr>
        <w:pStyle w:val="ListParagraph"/>
        <w:ind w:left="0"/>
        <w:rPr>
          <w:rFonts w:cstheme="minorHAnsi"/>
          <w:sz w:val="22"/>
          <w:szCs w:val="22"/>
        </w:rPr>
      </w:pPr>
    </w:p>
    <w:p w14:paraId="750A332F" w14:textId="2E6CC16E" w:rsidR="0066398B" w:rsidRPr="00996E3C" w:rsidRDefault="0066398B" w:rsidP="00823EFF">
      <w:pPr>
        <w:rPr>
          <w:rFonts w:cstheme="minorHAnsi"/>
          <w:sz w:val="22"/>
          <w:szCs w:val="22"/>
        </w:rPr>
      </w:pPr>
      <w:r w:rsidRPr="0066398B">
        <w:rPr>
          <w:rFonts w:cstheme="minorHAnsi"/>
          <w:sz w:val="22"/>
          <w:szCs w:val="22"/>
        </w:rPr>
        <w:t xml:space="preserve">We </w:t>
      </w:r>
      <w:r w:rsidR="00D476D0">
        <w:rPr>
          <w:rFonts w:cstheme="minorHAnsi"/>
          <w:sz w:val="22"/>
          <w:szCs w:val="22"/>
        </w:rPr>
        <w:t xml:space="preserve">believe the proposed changes address issues our members have encountered and </w:t>
      </w:r>
      <w:r w:rsidRPr="0066398B">
        <w:rPr>
          <w:rFonts w:cstheme="minorHAnsi"/>
          <w:sz w:val="22"/>
          <w:szCs w:val="22"/>
        </w:rPr>
        <w:t xml:space="preserve">share </w:t>
      </w:r>
      <w:r w:rsidR="00F73E1E">
        <w:rPr>
          <w:rFonts w:cstheme="minorHAnsi"/>
          <w:sz w:val="22"/>
          <w:szCs w:val="22"/>
        </w:rPr>
        <w:t xml:space="preserve">a recent situation </w:t>
      </w:r>
      <w:r w:rsidRPr="0066398B">
        <w:rPr>
          <w:rFonts w:cstheme="minorHAnsi"/>
          <w:sz w:val="22"/>
          <w:szCs w:val="22"/>
        </w:rPr>
        <w:t xml:space="preserve">to </w:t>
      </w:r>
      <w:r w:rsidR="00F73E1E">
        <w:rPr>
          <w:rFonts w:cstheme="minorHAnsi"/>
          <w:sz w:val="22"/>
          <w:szCs w:val="22"/>
        </w:rPr>
        <w:t xml:space="preserve">test our understanding of </w:t>
      </w:r>
      <w:r w:rsidRPr="0066398B">
        <w:rPr>
          <w:rFonts w:cstheme="minorHAnsi"/>
          <w:sz w:val="22"/>
          <w:szCs w:val="22"/>
        </w:rPr>
        <w:t>how we believe the proposed changes would apply to a circumstance encounter</w:t>
      </w:r>
      <w:r w:rsidR="00F73E1E">
        <w:rPr>
          <w:rFonts w:cstheme="minorHAnsi"/>
          <w:sz w:val="22"/>
          <w:szCs w:val="22"/>
        </w:rPr>
        <w:t>ed</w:t>
      </w:r>
      <w:r w:rsidRPr="0066398B">
        <w:rPr>
          <w:rFonts w:cstheme="minorHAnsi"/>
          <w:sz w:val="22"/>
          <w:szCs w:val="22"/>
        </w:rPr>
        <w:t xml:space="preserve"> by providers in one area of Michigan. In this case, network SNFs were closed to admissions either due to COVID </w:t>
      </w:r>
      <w:r w:rsidR="00A822DB">
        <w:rPr>
          <w:rFonts w:cstheme="minorHAnsi"/>
          <w:sz w:val="22"/>
          <w:szCs w:val="22"/>
        </w:rPr>
        <w:t xml:space="preserve">outbreaks in the SNF </w:t>
      </w:r>
      <w:r w:rsidRPr="0066398B">
        <w:rPr>
          <w:rFonts w:cstheme="minorHAnsi"/>
          <w:sz w:val="22"/>
          <w:szCs w:val="22"/>
        </w:rPr>
        <w:t xml:space="preserve">or inability to </w:t>
      </w:r>
      <w:r w:rsidR="003413D2">
        <w:rPr>
          <w:rFonts w:cstheme="minorHAnsi"/>
          <w:sz w:val="22"/>
          <w:szCs w:val="22"/>
        </w:rPr>
        <w:t xml:space="preserve">sufficiently </w:t>
      </w:r>
      <w:r w:rsidRPr="0066398B">
        <w:rPr>
          <w:rFonts w:cstheme="minorHAnsi"/>
          <w:sz w:val="22"/>
          <w:szCs w:val="22"/>
        </w:rPr>
        <w:t>staff open beds. Nonetheless one plan refused to permit enrollees to receive services from non-network SNFs</w:t>
      </w:r>
      <w:r w:rsidR="003413D2">
        <w:rPr>
          <w:rFonts w:cstheme="minorHAnsi"/>
          <w:sz w:val="22"/>
          <w:szCs w:val="22"/>
        </w:rPr>
        <w:t xml:space="preserve"> in the area who had</w:t>
      </w:r>
      <w:r w:rsidRPr="0066398B">
        <w:rPr>
          <w:rFonts w:cstheme="minorHAnsi"/>
          <w:sz w:val="22"/>
          <w:szCs w:val="22"/>
        </w:rPr>
        <w:t xml:space="preserve"> available beds. The result was a backlog of older adults in area hospitals at a time where beds were also needed for COVID patients. The plan’s position was that since the state’s emergency declaration was no longer in effect that it was not required to comply with 422.100(m). It would appear that the proposed regulations would alleviate this confusion </w:t>
      </w:r>
      <w:proofErr w:type="gramStart"/>
      <w:r w:rsidR="00960947">
        <w:rPr>
          <w:rFonts w:cstheme="minorHAnsi"/>
          <w:sz w:val="22"/>
          <w:szCs w:val="22"/>
        </w:rPr>
        <w:t>because</w:t>
      </w:r>
      <w:r w:rsidRPr="0066398B">
        <w:rPr>
          <w:rFonts w:cstheme="minorHAnsi"/>
          <w:sz w:val="22"/>
          <w:szCs w:val="22"/>
        </w:rPr>
        <w:t xml:space="preserve"> :</w:t>
      </w:r>
      <w:proofErr w:type="gramEnd"/>
      <w:r w:rsidRPr="0066398B">
        <w:rPr>
          <w:rFonts w:cstheme="minorHAnsi"/>
          <w:sz w:val="22"/>
          <w:szCs w:val="22"/>
        </w:rPr>
        <w:t xml:space="preserve"> 1) the national emergency still applied; 2) </w:t>
      </w:r>
      <w:r w:rsidR="00960947">
        <w:rPr>
          <w:rFonts w:cstheme="minorHAnsi"/>
          <w:sz w:val="22"/>
          <w:szCs w:val="22"/>
        </w:rPr>
        <w:t xml:space="preserve">there was a </w:t>
      </w:r>
      <w:r w:rsidRPr="0066398B">
        <w:rPr>
          <w:rFonts w:cstheme="minorHAnsi"/>
          <w:sz w:val="22"/>
          <w:szCs w:val="22"/>
        </w:rPr>
        <w:t xml:space="preserve">”disruption in access to health care” exists where “the prevailing patterns of community health care delivery in the service area” </w:t>
      </w:r>
      <w:r w:rsidR="004C54F5">
        <w:rPr>
          <w:rFonts w:cstheme="minorHAnsi"/>
          <w:sz w:val="22"/>
          <w:szCs w:val="22"/>
        </w:rPr>
        <w:t xml:space="preserve">were </w:t>
      </w:r>
      <w:r w:rsidRPr="0066398B">
        <w:rPr>
          <w:rFonts w:cstheme="minorHAnsi"/>
          <w:sz w:val="22"/>
          <w:szCs w:val="22"/>
        </w:rPr>
        <w:t>not being met and 3) given 1 &amp; 2, the special requirements would be triggered for plans in this service area.</w:t>
      </w:r>
      <w:r w:rsidR="004C54F5">
        <w:rPr>
          <w:rFonts w:cstheme="minorHAnsi"/>
          <w:sz w:val="22"/>
          <w:szCs w:val="22"/>
        </w:rPr>
        <w:t xml:space="preserve"> We would appreciate if you could confirm that our application of the proposed changes is correct. </w:t>
      </w:r>
      <w:r w:rsidRPr="00996E3C">
        <w:rPr>
          <w:rFonts w:cstheme="minorHAnsi"/>
          <w:sz w:val="22"/>
          <w:szCs w:val="22"/>
        </w:rPr>
        <w:t xml:space="preserve">  </w:t>
      </w:r>
    </w:p>
    <w:p w14:paraId="696889CA" w14:textId="77777777" w:rsidR="00141662" w:rsidRDefault="00141662" w:rsidP="00B5451A">
      <w:pPr>
        <w:rPr>
          <w:rFonts w:cstheme="minorHAnsi"/>
          <w:sz w:val="22"/>
          <w:szCs w:val="22"/>
        </w:rPr>
      </w:pPr>
    </w:p>
    <w:p w14:paraId="7A5FBCA7" w14:textId="1AD5A9A8" w:rsidR="00864EE2" w:rsidRDefault="004C54F5" w:rsidP="00D476D0">
      <w:pPr>
        <w:pStyle w:val="ListParagraph"/>
        <w:ind w:left="0"/>
        <w:rPr>
          <w:rFonts w:cstheme="minorHAnsi"/>
          <w:sz w:val="22"/>
          <w:szCs w:val="22"/>
        </w:rPr>
      </w:pPr>
      <w:r>
        <w:rPr>
          <w:rFonts w:cstheme="minorHAnsi"/>
          <w:sz w:val="22"/>
          <w:szCs w:val="22"/>
        </w:rPr>
        <w:lastRenderedPageBreak/>
        <w:t>Assuming we have appropriately interpreted the proposed changes related to special requirements</w:t>
      </w:r>
      <w:r w:rsidR="00402C0E">
        <w:rPr>
          <w:rFonts w:cstheme="minorHAnsi"/>
          <w:sz w:val="22"/>
          <w:szCs w:val="22"/>
        </w:rPr>
        <w:t>, w</w:t>
      </w:r>
      <w:r w:rsidR="00741A4A">
        <w:rPr>
          <w:rFonts w:cstheme="minorHAnsi"/>
          <w:sz w:val="22"/>
          <w:szCs w:val="22"/>
        </w:rPr>
        <w:t xml:space="preserve">e </w:t>
      </w:r>
      <w:r>
        <w:rPr>
          <w:rFonts w:cstheme="minorHAnsi"/>
          <w:sz w:val="22"/>
          <w:szCs w:val="22"/>
        </w:rPr>
        <w:t xml:space="preserve">are in </w:t>
      </w:r>
      <w:r w:rsidR="000D7880">
        <w:rPr>
          <w:rFonts w:cstheme="minorHAnsi"/>
          <w:sz w:val="22"/>
          <w:szCs w:val="22"/>
        </w:rPr>
        <w:t>support of</w:t>
      </w:r>
      <w:r>
        <w:rPr>
          <w:rFonts w:cstheme="minorHAnsi"/>
          <w:sz w:val="22"/>
          <w:szCs w:val="22"/>
        </w:rPr>
        <w:t xml:space="preserve"> these amendments to 422.100(m). </w:t>
      </w:r>
      <w:r w:rsidR="00864EE2">
        <w:rPr>
          <w:rFonts w:cstheme="minorHAnsi"/>
          <w:sz w:val="22"/>
          <w:szCs w:val="22"/>
        </w:rPr>
        <w:t xml:space="preserve">We suggest three other </w:t>
      </w:r>
      <w:r w:rsidR="00083A07">
        <w:rPr>
          <w:rFonts w:cstheme="minorHAnsi"/>
          <w:sz w:val="22"/>
          <w:szCs w:val="22"/>
        </w:rPr>
        <w:t>areas</w:t>
      </w:r>
      <w:r w:rsidR="00864EE2">
        <w:rPr>
          <w:rFonts w:cstheme="minorHAnsi"/>
          <w:sz w:val="22"/>
          <w:szCs w:val="22"/>
        </w:rPr>
        <w:t xml:space="preserve"> CMS might consider </w:t>
      </w:r>
      <w:r w:rsidR="00083A07">
        <w:rPr>
          <w:rFonts w:cstheme="minorHAnsi"/>
          <w:sz w:val="22"/>
          <w:szCs w:val="22"/>
        </w:rPr>
        <w:t xml:space="preserve">developing additional guidance on whether through additional regulatory language, sub-regulatory </w:t>
      </w:r>
      <w:proofErr w:type="gramStart"/>
      <w:r w:rsidR="00083A07">
        <w:rPr>
          <w:rFonts w:cstheme="minorHAnsi"/>
          <w:sz w:val="22"/>
          <w:szCs w:val="22"/>
        </w:rPr>
        <w:t>guidance</w:t>
      </w:r>
      <w:proofErr w:type="gramEnd"/>
      <w:r w:rsidR="00083A07">
        <w:rPr>
          <w:rFonts w:cstheme="minorHAnsi"/>
          <w:sz w:val="22"/>
          <w:szCs w:val="22"/>
        </w:rPr>
        <w:t xml:space="preserve"> or public information resources</w:t>
      </w:r>
      <w:r w:rsidR="00864EE2">
        <w:rPr>
          <w:rFonts w:cstheme="minorHAnsi"/>
          <w:sz w:val="22"/>
          <w:szCs w:val="22"/>
        </w:rPr>
        <w:t xml:space="preserve">: </w:t>
      </w:r>
    </w:p>
    <w:p w14:paraId="4182D777" w14:textId="1B1A2B64" w:rsidR="00040326" w:rsidRDefault="00040326" w:rsidP="00864EE2">
      <w:pPr>
        <w:pStyle w:val="ListParagraph"/>
        <w:numPr>
          <w:ilvl w:val="0"/>
          <w:numId w:val="7"/>
        </w:numPr>
        <w:rPr>
          <w:rFonts w:cstheme="minorHAnsi"/>
          <w:sz w:val="22"/>
          <w:szCs w:val="22"/>
        </w:rPr>
      </w:pPr>
      <w:r>
        <w:rPr>
          <w:rFonts w:cstheme="minorHAnsi"/>
          <w:sz w:val="22"/>
          <w:szCs w:val="22"/>
        </w:rPr>
        <w:t>Mechanisms</w:t>
      </w:r>
      <w:r w:rsidR="004305DC">
        <w:rPr>
          <w:rFonts w:cstheme="minorHAnsi"/>
          <w:sz w:val="22"/>
          <w:szCs w:val="22"/>
        </w:rPr>
        <w:t xml:space="preserve"> </w:t>
      </w:r>
      <w:r w:rsidR="00EF1B30">
        <w:rPr>
          <w:rFonts w:cstheme="minorHAnsi"/>
          <w:sz w:val="22"/>
          <w:szCs w:val="22"/>
        </w:rPr>
        <w:t>to ensure transparency for beneficiaries and providers about when these special requirements are in effect. For example, could</w:t>
      </w:r>
      <w:r w:rsidR="00D368D1">
        <w:rPr>
          <w:rFonts w:cstheme="minorHAnsi"/>
          <w:sz w:val="22"/>
          <w:szCs w:val="22"/>
        </w:rPr>
        <w:t xml:space="preserve"> </w:t>
      </w:r>
      <w:r w:rsidR="00D368D1" w:rsidRPr="00996E3C">
        <w:rPr>
          <w:rFonts w:cstheme="minorHAnsi"/>
          <w:sz w:val="22"/>
          <w:szCs w:val="22"/>
        </w:rPr>
        <w:t xml:space="preserve">CMS publish a list of areas under special requirements or another transparent way for beneficiaries and providers to understand when these rules must be followed. This could conceivably be important </w:t>
      </w:r>
      <w:r w:rsidR="00F85246">
        <w:rPr>
          <w:rFonts w:cstheme="minorHAnsi"/>
          <w:sz w:val="22"/>
          <w:szCs w:val="22"/>
        </w:rPr>
        <w:t xml:space="preserve">to beneficiaries seeking recourse under an </w:t>
      </w:r>
      <w:r w:rsidR="00D368D1" w:rsidRPr="00996E3C">
        <w:rPr>
          <w:rFonts w:cstheme="minorHAnsi"/>
          <w:sz w:val="22"/>
          <w:szCs w:val="22"/>
        </w:rPr>
        <w:t>appeals and grievances</w:t>
      </w:r>
      <w:r w:rsidR="00F85246">
        <w:rPr>
          <w:rFonts w:cstheme="minorHAnsi"/>
          <w:sz w:val="22"/>
          <w:szCs w:val="22"/>
        </w:rPr>
        <w:t xml:space="preserve"> process should</w:t>
      </w:r>
      <w:r w:rsidR="00D368D1" w:rsidRPr="00996E3C">
        <w:rPr>
          <w:rFonts w:cstheme="minorHAnsi"/>
          <w:sz w:val="22"/>
          <w:szCs w:val="22"/>
        </w:rPr>
        <w:t xml:space="preserve"> access </w:t>
      </w:r>
      <w:r w:rsidR="00F85246">
        <w:rPr>
          <w:rFonts w:cstheme="minorHAnsi"/>
          <w:sz w:val="22"/>
          <w:szCs w:val="22"/>
        </w:rPr>
        <w:t>to care be</w:t>
      </w:r>
      <w:r w:rsidR="00D368D1" w:rsidRPr="00996E3C">
        <w:rPr>
          <w:rFonts w:cstheme="minorHAnsi"/>
          <w:sz w:val="22"/>
          <w:szCs w:val="22"/>
        </w:rPr>
        <w:t xml:space="preserve"> denied.</w:t>
      </w:r>
    </w:p>
    <w:p w14:paraId="7B4E8238" w14:textId="6B4ED581" w:rsidR="00917557" w:rsidRDefault="00917557" w:rsidP="00917557">
      <w:pPr>
        <w:pStyle w:val="ListParagraph"/>
        <w:numPr>
          <w:ilvl w:val="0"/>
          <w:numId w:val="7"/>
        </w:numPr>
        <w:rPr>
          <w:rFonts w:cstheme="minorHAnsi"/>
          <w:sz w:val="22"/>
          <w:szCs w:val="22"/>
        </w:rPr>
      </w:pPr>
      <w:r>
        <w:rPr>
          <w:rFonts w:cstheme="minorHAnsi"/>
          <w:sz w:val="22"/>
          <w:szCs w:val="22"/>
        </w:rPr>
        <w:t>W</w:t>
      </w:r>
      <w:r w:rsidR="00D476D0" w:rsidRPr="00996E3C">
        <w:rPr>
          <w:rFonts w:cstheme="minorHAnsi"/>
          <w:sz w:val="22"/>
          <w:szCs w:val="22"/>
        </w:rPr>
        <w:t xml:space="preserve">hether </w:t>
      </w:r>
      <w:r w:rsidR="005A7811">
        <w:rPr>
          <w:rFonts w:cstheme="minorHAnsi"/>
          <w:sz w:val="22"/>
          <w:szCs w:val="22"/>
        </w:rPr>
        <w:t xml:space="preserve">special requirements should apply in </w:t>
      </w:r>
      <w:r w:rsidR="00D476D0" w:rsidRPr="00996E3C">
        <w:rPr>
          <w:rFonts w:cstheme="minorHAnsi"/>
          <w:sz w:val="22"/>
          <w:szCs w:val="22"/>
        </w:rPr>
        <w:t xml:space="preserve">other situations beyond national or state emergencies </w:t>
      </w:r>
      <w:r w:rsidR="00D476D0">
        <w:rPr>
          <w:rFonts w:cstheme="minorHAnsi"/>
          <w:sz w:val="22"/>
          <w:szCs w:val="22"/>
        </w:rPr>
        <w:t xml:space="preserve">such as </w:t>
      </w:r>
      <w:r w:rsidR="00D476D0" w:rsidRPr="00996E3C">
        <w:rPr>
          <w:rFonts w:cstheme="minorHAnsi"/>
          <w:sz w:val="22"/>
          <w:szCs w:val="22"/>
        </w:rPr>
        <w:t xml:space="preserve">shortage of health care staff or in cases where </w:t>
      </w:r>
      <w:r w:rsidR="00D05A32">
        <w:rPr>
          <w:rFonts w:cstheme="minorHAnsi"/>
          <w:sz w:val="22"/>
          <w:szCs w:val="22"/>
        </w:rPr>
        <w:t>provider</w:t>
      </w:r>
      <w:r w:rsidR="00D476D0" w:rsidRPr="00996E3C">
        <w:rPr>
          <w:rFonts w:cstheme="minorHAnsi"/>
          <w:sz w:val="22"/>
          <w:szCs w:val="22"/>
        </w:rPr>
        <w:t xml:space="preserve"> contracts are not renewed. </w:t>
      </w:r>
      <w:r w:rsidR="00D476D0">
        <w:rPr>
          <w:rFonts w:cstheme="minorHAnsi"/>
          <w:sz w:val="22"/>
          <w:szCs w:val="22"/>
        </w:rPr>
        <w:t xml:space="preserve">Neither of these examples may rise to the level of a state or national emergency but they </w:t>
      </w:r>
      <w:r w:rsidR="003C76CC">
        <w:rPr>
          <w:rFonts w:cstheme="minorHAnsi"/>
          <w:sz w:val="22"/>
          <w:szCs w:val="22"/>
        </w:rPr>
        <w:t>may</w:t>
      </w:r>
      <w:r w:rsidR="00D476D0">
        <w:rPr>
          <w:rFonts w:cstheme="minorHAnsi"/>
          <w:sz w:val="22"/>
          <w:szCs w:val="22"/>
        </w:rPr>
        <w:t xml:space="preserve"> still impact normal patterns of community health care delivery and as a result, impact enrollee access to care warranting expanding the pool of providers. </w:t>
      </w:r>
    </w:p>
    <w:p w14:paraId="26849D48" w14:textId="61FED481" w:rsidR="00DC1250" w:rsidRPr="00917557" w:rsidRDefault="00917557" w:rsidP="00917557">
      <w:pPr>
        <w:pStyle w:val="ListParagraph"/>
        <w:numPr>
          <w:ilvl w:val="0"/>
          <w:numId w:val="7"/>
        </w:numPr>
        <w:rPr>
          <w:rFonts w:cstheme="minorHAnsi"/>
          <w:sz w:val="22"/>
          <w:szCs w:val="22"/>
        </w:rPr>
      </w:pPr>
      <w:r>
        <w:rPr>
          <w:rFonts w:cstheme="minorHAnsi"/>
          <w:sz w:val="22"/>
          <w:szCs w:val="22"/>
        </w:rPr>
        <w:t xml:space="preserve">How non-contracted providers are to be paid </w:t>
      </w:r>
      <w:r w:rsidR="007C6AFD">
        <w:rPr>
          <w:rFonts w:cstheme="minorHAnsi"/>
          <w:sz w:val="22"/>
          <w:szCs w:val="22"/>
        </w:rPr>
        <w:t xml:space="preserve">by the MA/SNP </w:t>
      </w:r>
      <w:r>
        <w:rPr>
          <w:rFonts w:cstheme="minorHAnsi"/>
          <w:sz w:val="22"/>
          <w:szCs w:val="22"/>
        </w:rPr>
        <w:t xml:space="preserve">when the special requirements are triggered. This </w:t>
      </w:r>
      <w:r w:rsidR="007C6AFD">
        <w:rPr>
          <w:rFonts w:cstheme="minorHAnsi"/>
          <w:sz w:val="22"/>
          <w:szCs w:val="22"/>
        </w:rPr>
        <w:t xml:space="preserve">issue </w:t>
      </w:r>
      <w:r w:rsidR="007C6AFD" w:rsidRPr="00917557">
        <w:rPr>
          <w:rFonts w:cstheme="minorHAnsi"/>
          <w:sz w:val="22"/>
          <w:szCs w:val="22"/>
        </w:rPr>
        <w:t>appears</w:t>
      </w:r>
      <w:r w:rsidR="005C6483" w:rsidRPr="00917557">
        <w:rPr>
          <w:rFonts w:cstheme="minorHAnsi"/>
          <w:sz w:val="22"/>
          <w:szCs w:val="22"/>
        </w:rPr>
        <w:t xml:space="preserve"> unaddressed by the current and proposed regulations</w:t>
      </w:r>
      <w:r w:rsidR="007C6AFD">
        <w:rPr>
          <w:rFonts w:cstheme="minorHAnsi"/>
          <w:sz w:val="22"/>
          <w:szCs w:val="22"/>
        </w:rPr>
        <w:t>.</w:t>
      </w:r>
      <w:r w:rsidR="00EB58F1" w:rsidRPr="00917557">
        <w:rPr>
          <w:rFonts w:cstheme="minorHAnsi"/>
          <w:sz w:val="22"/>
          <w:szCs w:val="22"/>
        </w:rPr>
        <w:t xml:space="preserve"> </w:t>
      </w:r>
      <w:r w:rsidR="00DC1250" w:rsidRPr="00917557">
        <w:rPr>
          <w:rFonts w:cstheme="minorHAnsi"/>
          <w:sz w:val="22"/>
          <w:szCs w:val="22"/>
        </w:rPr>
        <w:t>It would be helpful if CMS clarified at what rate a non-contracted provider must be paid. We would suggest Medicare FFS rates for the services provided</w:t>
      </w:r>
      <w:r w:rsidR="003D79C4" w:rsidRPr="00917557">
        <w:rPr>
          <w:rFonts w:cstheme="minorHAnsi"/>
          <w:sz w:val="22"/>
          <w:szCs w:val="22"/>
        </w:rPr>
        <w:t xml:space="preserve"> given that no contract is in place</w:t>
      </w:r>
      <w:r w:rsidR="005675A9" w:rsidRPr="00917557">
        <w:rPr>
          <w:rFonts w:cstheme="minorHAnsi"/>
          <w:sz w:val="22"/>
          <w:szCs w:val="22"/>
        </w:rPr>
        <w:t xml:space="preserve"> and </w:t>
      </w:r>
      <w:r w:rsidR="0070343A" w:rsidRPr="00917557">
        <w:rPr>
          <w:rFonts w:cstheme="minorHAnsi"/>
          <w:sz w:val="22"/>
          <w:szCs w:val="22"/>
        </w:rPr>
        <w:t xml:space="preserve">most </w:t>
      </w:r>
      <w:r w:rsidR="005675A9" w:rsidRPr="00917557">
        <w:rPr>
          <w:rFonts w:cstheme="minorHAnsi"/>
          <w:sz w:val="22"/>
          <w:szCs w:val="22"/>
        </w:rPr>
        <w:t>contracted providers are receiving 60-80% of Medicare fee-for-service rates</w:t>
      </w:r>
      <w:r w:rsidR="000B2AB0" w:rsidRPr="00917557">
        <w:rPr>
          <w:rFonts w:cstheme="minorHAnsi"/>
          <w:sz w:val="22"/>
          <w:szCs w:val="22"/>
        </w:rPr>
        <w:t xml:space="preserve">. </w:t>
      </w:r>
      <w:r w:rsidR="00713113" w:rsidRPr="00917557">
        <w:rPr>
          <w:rFonts w:cstheme="minorHAnsi"/>
          <w:sz w:val="22"/>
          <w:szCs w:val="22"/>
        </w:rPr>
        <w:t>While we seek this additional clarification</w:t>
      </w:r>
      <w:r w:rsidR="000B2AB0" w:rsidRPr="00917557">
        <w:rPr>
          <w:rFonts w:cstheme="minorHAnsi"/>
          <w:sz w:val="22"/>
          <w:szCs w:val="22"/>
        </w:rPr>
        <w:t xml:space="preserve">, we support maintaining </w:t>
      </w:r>
      <w:r w:rsidR="00713113" w:rsidRPr="00917557">
        <w:rPr>
          <w:rFonts w:cstheme="minorHAnsi"/>
          <w:sz w:val="22"/>
          <w:szCs w:val="22"/>
        </w:rPr>
        <w:t xml:space="preserve">an enrollee’s in-network </w:t>
      </w:r>
      <w:r w:rsidR="000B2AB0" w:rsidRPr="00917557">
        <w:rPr>
          <w:rFonts w:cstheme="minorHAnsi"/>
          <w:sz w:val="22"/>
          <w:szCs w:val="22"/>
        </w:rPr>
        <w:t xml:space="preserve">cost sharing obligations </w:t>
      </w:r>
      <w:r w:rsidR="00713113" w:rsidRPr="00917557">
        <w:rPr>
          <w:rFonts w:cstheme="minorHAnsi"/>
          <w:sz w:val="22"/>
          <w:szCs w:val="22"/>
        </w:rPr>
        <w:t>in these circumstances</w:t>
      </w:r>
      <w:r w:rsidR="000B2AB0" w:rsidRPr="00917557">
        <w:rPr>
          <w:rFonts w:cstheme="minorHAnsi"/>
          <w:sz w:val="22"/>
          <w:szCs w:val="22"/>
        </w:rPr>
        <w:t xml:space="preserve">. </w:t>
      </w:r>
    </w:p>
    <w:p w14:paraId="49CD3AAA" w14:textId="77777777" w:rsidR="00570FE1" w:rsidRPr="00996E3C" w:rsidRDefault="00570FE1" w:rsidP="00570FE1">
      <w:pPr>
        <w:rPr>
          <w:rFonts w:cstheme="minorHAnsi"/>
          <w:b/>
          <w:bCs/>
          <w:sz w:val="22"/>
          <w:szCs w:val="22"/>
        </w:rPr>
      </w:pPr>
    </w:p>
    <w:p w14:paraId="6369B649" w14:textId="77777777" w:rsidR="00863B1E" w:rsidRDefault="004318F2" w:rsidP="007A038C">
      <w:pPr>
        <w:autoSpaceDE w:val="0"/>
        <w:autoSpaceDN w:val="0"/>
        <w:adjustRightInd w:val="0"/>
        <w:rPr>
          <w:rFonts w:cstheme="minorHAnsi"/>
          <w:b/>
          <w:bCs/>
          <w:sz w:val="22"/>
          <w:szCs w:val="22"/>
        </w:rPr>
      </w:pPr>
      <w:r w:rsidRPr="00863B1E">
        <w:rPr>
          <w:rFonts w:cstheme="minorHAnsi"/>
          <w:b/>
          <w:bCs/>
          <w:i/>
          <w:iCs/>
          <w:sz w:val="22"/>
          <w:szCs w:val="22"/>
        </w:rPr>
        <w:t>Request for Information Regarding Prior Authorizations</w:t>
      </w:r>
    </w:p>
    <w:p w14:paraId="0977CFCA" w14:textId="0A9724C1" w:rsidR="001D5245" w:rsidRPr="00996E3C" w:rsidRDefault="001D5245" w:rsidP="007A038C">
      <w:pPr>
        <w:autoSpaceDE w:val="0"/>
        <w:autoSpaceDN w:val="0"/>
        <w:adjustRightInd w:val="0"/>
        <w:rPr>
          <w:rFonts w:cstheme="minorHAnsi"/>
          <w:sz w:val="22"/>
          <w:szCs w:val="22"/>
        </w:rPr>
      </w:pPr>
      <w:r w:rsidRPr="00863B1E">
        <w:rPr>
          <w:rFonts w:cstheme="minorHAnsi"/>
          <w:b/>
          <w:bCs/>
          <w:sz w:val="22"/>
          <w:szCs w:val="22"/>
        </w:rPr>
        <w:t>I</w:t>
      </w:r>
      <w:r w:rsidRPr="00996E3C">
        <w:rPr>
          <w:rFonts w:cstheme="minorHAnsi"/>
          <w:b/>
          <w:bCs/>
          <w:sz w:val="22"/>
          <w:szCs w:val="22"/>
        </w:rPr>
        <w:t xml:space="preserve">n the proposed rule, </w:t>
      </w:r>
      <w:r w:rsidR="000B5AAD" w:rsidRPr="00996E3C">
        <w:rPr>
          <w:rFonts w:cstheme="minorHAnsi"/>
          <w:b/>
          <w:bCs/>
          <w:sz w:val="22"/>
          <w:szCs w:val="22"/>
        </w:rPr>
        <w:t xml:space="preserve">CMS sought feedback </w:t>
      </w:r>
      <w:r w:rsidR="00A977CB" w:rsidRPr="00996E3C">
        <w:rPr>
          <w:rFonts w:cstheme="minorHAnsi"/>
          <w:b/>
          <w:bCs/>
          <w:sz w:val="22"/>
          <w:szCs w:val="22"/>
        </w:rPr>
        <w:t xml:space="preserve">on </w:t>
      </w:r>
      <w:r w:rsidR="00FC18D4" w:rsidRPr="00996E3C">
        <w:rPr>
          <w:rFonts w:cstheme="minorHAnsi"/>
          <w:b/>
          <w:bCs/>
          <w:sz w:val="22"/>
          <w:szCs w:val="22"/>
        </w:rPr>
        <w:t>how prior authorizations worked during the public health emergency</w:t>
      </w:r>
      <w:r w:rsidR="009D4F7A" w:rsidRPr="00996E3C">
        <w:rPr>
          <w:rFonts w:cstheme="minorHAnsi"/>
          <w:b/>
          <w:bCs/>
          <w:sz w:val="22"/>
          <w:szCs w:val="22"/>
        </w:rPr>
        <w:t xml:space="preserve"> related to plans being give</w:t>
      </w:r>
      <w:r w:rsidR="00E70003">
        <w:rPr>
          <w:rFonts w:cstheme="minorHAnsi"/>
          <w:b/>
          <w:bCs/>
          <w:sz w:val="22"/>
          <w:szCs w:val="22"/>
        </w:rPr>
        <w:t>n</w:t>
      </w:r>
      <w:r w:rsidR="009D4F7A" w:rsidRPr="00996E3C">
        <w:rPr>
          <w:rFonts w:cstheme="minorHAnsi"/>
          <w:b/>
          <w:bCs/>
          <w:sz w:val="22"/>
          <w:szCs w:val="22"/>
        </w:rPr>
        <w:t xml:space="preserve"> the flexibilities to stop prior authorization requirements for patient transfers</w:t>
      </w:r>
      <w:r w:rsidR="00E95896" w:rsidRPr="00996E3C">
        <w:rPr>
          <w:rFonts w:cstheme="minorHAnsi"/>
          <w:b/>
          <w:bCs/>
          <w:sz w:val="22"/>
          <w:szCs w:val="22"/>
        </w:rPr>
        <w:t>, wait times for receiving a response for when prior authorizations are in place</w:t>
      </w:r>
      <w:r w:rsidR="00E70003">
        <w:rPr>
          <w:rFonts w:cstheme="minorHAnsi"/>
          <w:b/>
          <w:bCs/>
          <w:sz w:val="22"/>
          <w:szCs w:val="22"/>
        </w:rPr>
        <w:t xml:space="preserve">. </w:t>
      </w:r>
    </w:p>
    <w:p w14:paraId="2DD03777" w14:textId="546B35AC" w:rsidR="004072E7" w:rsidRPr="00996E3C" w:rsidRDefault="004072E7" w:rsidP="00570FE1">
      <w:pPr>
        <w:rPr>
          <w:rFonts w:cstheme="minorHAnsi"/>
          <w:b/>
          <w:bCs/>
          <w:sz w:val="22"/>
          <w:szCs w:val="22"/>
          <w:highlight w:val="yellow"/>
        </w:rPr>
      </w:pPr>
    </w:p>
    <w:p w14:paraId="6724ACA0" w14:textId="14D788C7" w:rsidR="00E80343" w:rsidRDefault="004E1009" w:rsidP="004E1009">
      <w:pPr>
        <w:rPr>
          <w:rFonts w:cstheme="minorHAnsi"/>
          <w:sz w:val="22"/>
          <w:szCs w:val="22"/>
        </w:rPr>
      </w:pPr>
      <w:r w:rsidRPr="00996E3C">
        <w:rPr>
          <w:rFonts w:cstheme="minorHAnsi"/>
          <w:sz w:val="22"/>
          <w:szCs w:val="22"/>
        </w:rPr>
        <w:t>LeadingAge’s Skilled Nursing Facilities</w:t>
      </w:r>
      <w:r w:rsidR="002A105C">
        <w:rPr>
          <w:rFonts w:cstheme="minorHAnsi"/>
          <w:sz w:val="22"/>
          <w:szCs w:val="22"/>
        </w:rPr>
        <w:t xml:space="preserve"> </w:t>
      </w:r>
      <w:r w:rsidRPr="00996E3C">
        <w:rPr>
          <w:rFonts w:cstheme="minorHAnsi"/>
          <w:sz w:val="22"/>
          <w:szCs w:val="22"/>
        </w:rPr>
        <w:t xml:space="preserve">(SNFs) had a similar experience to what was documented in the narrative </w:t>
      </w:r>
      <w:r w:rsidR="00BF69DE">
        <w:rPr>
          <w:rFonts w:cstheme="minorHAnsi"/>
          <w:sz w:val="22"/>
          <w:szCs w:val="22"/>
        </w:rPr>
        <w:t xml:space="preserve">of </w:t>
      </w:r>
      <w:r w:rsidRPr="00996E3C">
        <w:rPr>
          <w:rFonts w:cstheme="minorHAnsi"/>
          <w:sz w:val="22"/>
          <w:szCs w:val="22"/>
        </w:rPr>
        <w:t>the proposed rule.</w:t>
      </w:r>
      <w:r w:rsidR="00BF69DE">
        <w:rPr>
          <w:rFonts w:cstheme="minorHAnsi"/>
          <w:sz w:val="22"/>
          <w:szCs w:val="22"/>
        </w:rPr>
        <w:t xml:space="preserve"> </w:t>
      </w:r>
      <w:r w:rsidR="007A038C">
        <w:rPr>
          <w:rFonts w:cstheme="minorHAnsi"/>
          <w:sz w:val="22"/>
          <w:szCs w:val="22"/>
        </w:rPr>
        <w:t xml:space="preserve">Our providers appreciated the flexibilities afforded </w:t>
      </w:r>
      <w:r w:rsidR="002F460A">
        <w:rPr>
          <w:rFonts w:cstheme="minorHAnsi"/>
          <w:sz w:val="22"/>
          <w:szCs w:val="22"/>
        </w:rPr>
        <w:t xml:space="preserve">MA/SNP </w:t>
      </w:r>
      <w:r w:rsidR="007A038C">
        <w:rPr>
          <w:rFonts w:cstheme="minorHAnsi"/>
          <w:sz w:val="22"/>
          <w:szCs w:val="22"/>
        </w:rPr>
        <w:t>plan</w:t>
      </w:r>
      <w:r w:rsidR="002F460A">
        <w:rPr>
          <w:rFonts w:cstheme="minorHAnsi"/>
          <w:sz w:val="22"/>
          <w:szCs w:val="22"/>
        </w:rPr>
        <w:t>s</w:t>
      </w:r>
      <w:r w:rsidR="007A038C">
        <w:rPr>
          <w:rFonts w:cstheme="minorHAnsi"/>
          <w:sz w:val="22"/>
          <w:szCs w:val="22"/>
        </w:rPr>
        <w:t xml:space="preserve"> to address the situation on the ground especially in the earliest days of the Public Health Emergency (PHE). </w:t>
      </w:r>
      <w:r w:rsidR="00EB62D0">
        <w:rPr>
          <w:rFonts w:cstheme="minorHAnsi"/>
          <w:sz w:val="22"/>
          <w:szCs w:val="22"/>
        </w:rPr>
        <w:t>Initially, we were pleased to</w:t>
      </w:r>
      <w:r w:rsidR="00EF4662">
        <w:rPr>
          <w:rFonts w:cstheme="minorHAnsi"/>
          <w:sz w:val="22"/>
          <w:szCs w:val="22"/>
        </w:rPr>
        <w:t xml:space="preserve"> </w:t>
      </w:r>
      <w:r w:rsidRPr="00996E3C">
        <w:rPr>
          <w:rFonts w:cstheme="minorHAnsi"/>
          <w:sz w:val="22"/>
          <w:szCs w:val="22"/>
        </w:rPr>
        <w:t>witness M</w:t>
      </w:r>
      <w:r w:rsidR="00710874">
        <w:rPr>
          <w:rFonts w:cstheme="minorHAnsi"/>
          <w:sz w:val="22"/>
          <w:szCs w:val="22"/>
        </w:rPr>
        <w:t xml:space="preserve">edicare </w:t>
      </w:r>
      <w:r w:rsidRPr="00996E3C">
        <w:rPr>
          <w:rFonts w:cstheme="minorHAnsi"/>
          <w:sz w:val="22"/>
          <w:szCs w:val="22"/>
        </w:rPr>
        <w:t>A</w:t>
      </w:r>
      <w:r w:rsidR="00710874">
        <w:rPr>
          <w:rFonts w:cstheme="minorHAnsi"/>
          <w:sz w:val="22"/>
          <w:szCs w:val="22"/>
        </w:rPr>
        <w:t xml:space="preserve">dvantage </w:t>
      </w:r>
      <w:r w:rsidRPr="00996E3C">
        <w:rPr>
          <w:rFonts w:cstheme="minorHAnsi"/>
          <w:sz w:val="22"/>
          <w:szCs w:val="22"/>
        </w:rPr>
        <w:t>O</w:t>
      </w:r>
      <w:r w:rsidR="00710874">
        <w:rPr>
          <w:rFonts w:cstheme="minorHAnsi"/>
          <w:sz w:val="22"/>
          <w:szCs w:val="22"/>
        </w:rPr>
        <w:t>rganization</w:t>
      </w:r>
      <w:r w:rsidRPr="00996E3C">
        <w:rPr>
          <w:rFonts w:cstheme="minorHAnsi"/>
          <w:sz w:val="22"/>
          <w:szCs w:val="22"/>
        </w:rPr>
        <w:t>s</w:t>
      </w:r>
      <w:r w:rsidR="002F460A">
        <w:rPr>
          <w:rFonts w:cstheme="minorHAnsi"/>
          <w:sz w:val="22"/>
          <w:szCs w:val="22"/>
        </w:rPr>
        <w:t xml:space="preserve"> (MAOs)</w:t>
      </w:r>
      <w:r w:rsidRPr="00996E3C">
        <w:rPr>
          <w:rFonts w:cstheme="minorHAnsi"/>
          <w:sz w:val="22"/>
          <w:szCs w:val="22"/>
        </w:rPr>
        <w:t xml:space="preserve"> taking full advantage of the flexibilities offered under the </w:t>
      </w:r>
      <w:r w:rsidR="00C37B20">
        <w:rPr>
          <w:rFonts w:cstheme="minorHAnsi"/>
          <w:sz w:val="22"/>
          <w:szCs w:val="22"/>
        </w:rPr>
        <w:t>PHE</w:t>
      </w:r>
      <w:r w:rsidRPr="00996E3C">
        <w:rPr>
          <w:rFonts w:cstheme="minorHAnsi"/>
          <w:sz w:val="22"/>
          <w:szCs w:val="22"/>
        </w:rPr>
        <w:t xml:space="preserve"> in 2020 ensuring access to not only traditional Medicare services but also rethinking the delivery of supplemental benefits</w:t>
      </w:r>
      <w:r w:rsidR="00A11E80">
        <w:rPr>
          <w:rFonts w:cstheme="minorHAnsi"/>
          <w:sz w:val="22"/>
          <w:szCs w:val="22"/>
        </w:rPr>
        <w:t>. In one area of the country,</w:t>
      </w:r>
      <w:r w:rsidR="000A5785">
        <w:rPr>
          <w:rFonts w:cstheme="minorHAnsi"/>
          <w:sz w:val="22"/>
          <w:szCs w:val="22"/>
        </w:rPr>
        <w:t xml:space="preserve"> we are pleased to report</w:t>
      </w:r>
      <w:r w:rsidR="00A11E80">
        <w:rPr>
          <w:rFonts w:cstheme="minorHAnsi"/>
          <w:sz w:val="22"/>
          <w:szCs w:val="22"/>
        </w:rPr>
        <w:t xml:space="preserve"> a group of plans authorized</w:t>
      </w:r>
      <w:r w:rsidRPr="00996E3C">
        <w:rPr>
          <w:rFonts w:cstheme="minorHAnsi"/>
          <w:sz w:val="22"/>
          <w:szCs w:val="22"/>
        </w:rPr>
        <w:t xml:space="preserve"> grocery delivery </w:t>
      </w:r>
      <w:r w:rsidR="00A11E80">
        <w:rPr>
          <w:rFonts w:cstheme="minorHAnsi"/>
          <w:sz w:val="22"/>
          <w:szCs w:val="22"/>
        </w:rPr>
        <w:t xml:space="preserve">services </w:t>
      </w:r>
      <w:r w:rsidRPr="00996E3C">
        <w:rPr>
          <w:rFonts w:cstheme="minorHAnsi"/>
          <w:sz w:val="22"/>
          <w:szCs w:val="22"/>
        </w:rPr>
        <w:t xml:space="preserve">to ensure </w:t>
      </w:r>
      <w:r w:rsidR="00C37B20">
        <w:rPr>
          <w:rFonts w:cstheme="minorHAnsi"/>
          <w:sz w:val="22"/>
          <w:szCs w:val="22"/>
        </w:rPr>
        <w:t>community-dwelling,</w:t>
      </w:r>
      <w:r w:rsidR="00A11E80">
        <w:rPr>
          <w:rFonts w:cstheme="minorHAnsi"/>
          <w:sz w:val="22"/>
          <w:szCs w:val="22"/>
        </w:rPr>
        <w:t xml:space="preserve"> frail </w:t>
      </w:r>
      <w:r w:rsidRPr="00996E3C">
        <w:rPr>
          <w:rFonts w:cstheme="minorHAnsi"/>
          <w:sz w:val="22"/>
          <w:szCs w:val="22"/>
        </w:rPr>
        <w:t>beneficiaries were able to minimize their exposure to COVID-19 in the early months of the pandemic. However,</w:t>
      </w:r>
      <w:r w:rsidR="004C6C8F">
        <w:rPr>
          <w:rFonts w:cstheme="minorHAnsi"/>
          <w:sz w:val="22"/>
          <w:szCs w:val="22"/>
        </w:rPr>
        <w:t xml:space="preserve"> as the pandemic has worn on</w:t>
      </w:r>
      <w:r w:rsidRPr="00996E3C">
        <w:rPr>
          <w:rFonts w:cstheme="minorHAnsi"/>
          <w:sz w:val="22"/>
          <w:szCs w:val="22"/>
        </w:rPr>
        <w:t xml:space="preserve">, we </w:t>
      </w:r>
      <w:r w:rsidR="00745937">
        <w:rPr>
          <w:rFonts w:cstheme="minorHAnsi"/>
          <w:sz w:val="22"/>
          <w:szCs w:val="22"/>
        </w:rPr>
        <w:t xml:space="preserve">have seen and heard </w:t>
      </w:r>
      <w:r w:rsidRPr="00996E3C">
        <w:rPr>
          <w:rFonts w:cstheme="minorHAnsi"/>
          <w:sz w:val="22"/>
          <w:szCs w:val="22"/>
        </w:rPr>
        <w:t xml:space="preserve">that </w:t>
      </w:r>
      <w:r w:rsidR="00745937">
        <w:rPr>
          <w:rFonts w:cstheme="minorHAnsi"/>
          <w:sz w:val="22"/>
          <w:szCs w:val="22"/>
        </w:rPr>
        <w:t>many</w:t>
      </w:r>
      <w:r w:rsidRPr="00996E3C">
        <w:rPr>
          <w:rFonts w:cstheme="minorHAnsi"/>
          <w:sz w:val="22"/>
          <w:szCs w:val="22"/>
        </w:rPr>
        <w:t xml:space="preserve"> plans </w:t>
      </w:r>
      <w:r w:rsidR="00745937">
        <w:rPr>
          <w:rFonts w:cstheme="minorHAnsi"/>
          <w:sz w:val="22"/>
          <w:szCs w:val="22"/>
        </w:rPr>
        <w:t xml:space="preserve">have </w:t>
      </w:r>
      <w:r w:rsidRPr="00996E3C">
        <w:rPr>
          <w:rFonts w:cstheme="minorHAnsi"/>
          <w:sz w:val="22"/>
          <w:szCs w:val="22"/>
        </w:rPr>
        <w:t>return</w:t>
      </w:r>
      <w:r w:rsidR="00745937">
        <w:rPr>
          <w:rFonts w:cstheme="minorHAnsi"/>
          <w:sz w:val="22"/>
          <w:szCs w:val="22"/>
        </w:rPr>
        <w:t>ed</w:t>
      </w:r>
      <w:r w:rsidRPr="00996E3C">
        <w:rPr>
          <w:rFonts w:cstheme="minorHAnsi"/>
          <w:sz w:val="22"/>
          <w:szCs w:val="22"/>
        </w:rPr>
        <w:t xml:space="preserve"> to current laws and regulations</w:t>
      </w:r>
      <w:r w:rsidR="00EB7678">
        <w:rPr>
          <w:rFonts w:cstheme="minorHAnsi"/>
          <w:sz w:val="22"/>
          <w:szCs w:val="22"/>
        </w:rPr>
        <w:t xml:space="preserve"> </w:t>
      </w:r>
      <w:r w:rsidR="009B00C4">
        <w:rPr>
          <w:rFonts w:cstheme="minorHAnsi"/>
          <w:sz w:val="22"/>
          <w:szCs w:val="22"/>
        </w:rPr>
        <w:t xml:space="preserve">reinstating prior authorizations and refusing use of non-contracted providers under section 422.100(m) </w:t>
      </w:r>
      <w:r w:rsidR="00EB7678">
        <w:rPr>
          <w:rFonts w:cstheme="minorHAnsi"/>
          <w:sz w:val="22"/>
          <w:szCs w:val="22"/>
        </w:rPr>
        <w:t>even though access issues</w:t>
      </w:r>
      <w:r w:rsidR="00C528AC">
        <w:rPr>
          <w:rFonts w:cstheme="minorHAnsi"/>
          <w:sz w:val="22"/>
          <w:szCs w:val="22"/>
        </w:rPr>
        <w:t xml:space="preserve"> </w:t>
      </w:r>
      <w:r w:rsidR="00EB7678">
        <w:rPr>
          <w:rFonts w:cstheme="minorHAnsi"/>
          <w:sz w:val="22"/>
          <w:szCs w:val="22"/>
        </w:rPr>
        <w:t xml:space="preserve">have remained or fluctuated </w:t>
      </w:r>
      <w:r w:rsidR="0068722B">
        <w:rPr>
          <w:rFonts w:cstheme="minorHAnsi"/>
          <w:sz w:val="22"/>
          <w:szCs w:val="22"/>
        </w:rPr>
        <w:t>throughout</w:t>
      </w:r>
      <w:r w:rsidR="00EB7678">
        <w:rPr>
          <w:rFonts w:cstheme="minorHAnsi"/>
          <w:sz w:val="22"/>
          <w:szCs w:val="22"/>
        </w:rPr>
        <w:t xml:space="preserve"> the </w:t>
      </w:r>
      <w:r w:rsidR="00402D9E">
        <w:rPr>
          <w:rFonts w:cstheme="minorHAnsi"/>
          <w:sz w:val="22"/>
          <w:szCs w:val="22"/>
        </w:rPr>
        <w:t>PHE</w:t>
      </w:r>
      <w:r w:rsidRPr="00996E3C">
        <w:rPr>
          <w:rFonts w:cstheme="minorHAnsi"/>
          <w:sz w:val="22"/>
          <w:szCs w:val="22"/>
        </w:rPr>
        <w:t>. Not all of the</w:t>
      </w:r>
      <w:r w:rsidR="00E80343">
        <w:rPr>
          <w:rFonts w:cstheme="minorHAnsi"/>
          <w:sz w:val="22"/>
          <w:szCs w:val="22"/>
        </w:rPr>
        <w:t xml:space="preserve"> situations we share here are </w:t>
      </w:r>
      <w:r w:rsidRPr="00996E3C">
        <w:rPr>
          <w:rFonts w:cstheme="minorHAnsi"/>
          <w:sz w:val="22"/>
          <w:szCs w:val="22"/>
        </w:rPr>
        <w:t>relate</w:t>
      </w:r>
      <w:r w:rsidR="00E80343">
        <w:rPr>
          <w:rFonts w:cstheme="minorHAnsi"/>
          <w:sz w:val="22"/>
          <w:szCs w:val="22"/>
        </w:rPr>
        <w:t>d</w:t>
      </w:r>
      <w:r w:rsidRPr="00996E3C">
        <w:rPr>
          <w:rFonts w:cstheme="minorHAnsi"/>
          <w:sz w:val="22"/>
          <w:szCs w:val="22"/>
        </w:rPr>
        <w:t xml:space="preserve"> to prior </w:t>
      </w:r>
      <w:proofErr w:type="gramStart"/>
      <w:r w:rsidRPr="00996E3C">
        <w:rPr>
          <w:rFonts w:cstheme="minorHAnsi"/>
          <w:sz w:val="22"/>
          <w:szCs w:val="22"/>
        </w:rPr>
        <w:t>authorizations</w:t>
      </w:r>
      <w:proofErr w:type="gramEnd"/>
      <w:r w:rsidR="00E80343">
        <w:rPr>
          <w:rFonts w:cstheme="minorHAnsi"/>
          <w:sz w:val="22"/>
          <w:szCs w:val="22"/>
        </w:rPr>
        <w:t xml:space="preserve"> but we include them to be i</w:t>
      </w:r>
      <w:r w:rsidR="00C528AC">
        <w:rPr>
          <w:rFonts w:cstheme="minorHAnsi"/>
          <w:sz w:val="22"/>
          <w:szCs w:val="22"/>
        </w:rPr>
        <w:t xml:space="preserve">llustrative of what our provider members have seen occur during the </w:t>
      </w:r>
      <w:r w:rsidR="00A628B8">
        <w:rPr>
          <w:rFonts w:cstheme="minorHAnsi"/>
          <w:sz w:val="22"/>
          <w:szCs w:val="22"/>
        </w:rPr>
        <w:t>PHE related to the flexibilities permitted by CMS</w:t>
      </w:r>
      <w:r w:rsidR="00E80343">
        <w:rPr>
          <w:rFonts w:cstheme="minorHAnsi"/>
          <w:sz w:val="22"/>
          <w:szCs w:val="22"/>
        </w:rPr>
        <w:t xml:space="preserve">: </w:t>
      </w:r>
    </w:p>
    <w:p w14:paraId="47F488C5" w14:textId="70336612" w:rsidR="004678E9" w:rsidRDefault="00E80343" w:rsidP="001B6D48">
      <w:pPr>
        <w:pStyle w:val="ListParagraph"/>
        <w:numPr>
          <w:ilvl w:val="0"/>
          <w:numId w:val="6"/>
        </w:numPr>
        <w:ind w:left="720"/>
        <w:rPr>
          <w:rFonts w:cstheme="minorHAnsi"/>
          <w:sz w:val="22"/>
          <w:szCs w:val="22"/>
        </w:rPr>
      </w:pPr>
      <w:r w:rsidRPr="004678E9">
        <w:rPr>
          <w:rFonts w:cstheme="minorHAnsi"/>
          <w:sz w:val="22"/>
          <w:szCs w:val="22"/>
        </w:rPr>
        <w:lastRenderedPageBreak/>
        <w:t>I</w:t>
      </w:r>
      <w:r w:rsidR="004E1009" w:rsidRPr="004678E9">
        <w:rPr>
          <w:rFonts w:cstheme="minorHAnsi"/>
          <w:sz w:val="22"/>
          <w:szCs w:val="22"/>
        </w:rPr>
        <w:t>n New York</w:t>
      </w:r>
      <w:r w:rsidRPr="004678E9">
        <w:rPr>
          <w:rFonts w:cstheme="minorHAnsi"/>
          <w:sz w:val="22"/>
          <w:szCs w:val="22"/>
        </w:rPr>
        <w:t xml:space="preserve"> in the second half of 2020</w:t>
      </w:r>
      <w:r w:rsidR="004E1009" w:rsidRPr="004678E9">
        <w:rPr>
          <w:rFonts w:cstheme="minorHAnsi"/>
          <w:sz w:val="22"/>
          <w:szCs w:val="22"/>
        </w:rPr>
        <w:t xml:space="preserve">, we were contacted by SNF providers </w:t>
      </w:r>
      <w:r w:rsidR="000C27C1" w:rsidRPr="004678E9">
        <w:rPr>
          <w:rFonts w:cstheme="minorHAnsi"/>
          <w:sz w:val="22"/>
          <w:szCs w:val="22"/>
        </w:rPr>
        <w:t xml:space="preserve">who had a short-stay rehabilitation resident who was told by the plan they no longer required SNF care and needed to be discharged even though there was not a sufficient place to discharge the individual to. The resident was still COVID </w:t>
      </w:r>
      <w:proofErr w:type="gramStart"/>
      <w:r w:rsidR="000C27C1" w:rsidRPr="004678E9">
        <w:rPr>
          <w:rFonts w:cstheme="minorHAnsi"/>
          <w:sz w:val="22"/>
          <w:szCs w:val="22"/>
        </w:rPr>
        <w:t>positive</w:t>
      </w:r>
      <w:proofErr w:type="gramEnd"/>
      <w:r w:rsidR="000C27C1" w:rsidRPr="004678E9">
        <w:rPr>
          <w:rFonts w:cstheme="minorHAnsi"/>
          <w:sz w:val="22"/>
          <w:szCs w:val="22"/>
        </w:rPr>
        <w:t xml:space="preserve"> and their family was either unwilling or unable to have them return home where they may infect other family members. </w:t>
      </w:r>
      <w:r w:rsidR="004E1009" w:rsidRPr="004678E9">
        <w:rPr>
          <w:rFonts w:cstheme="minorHAnsi"/>
          <w:sz w:val="22"/>
          <w:szCs w:val="22"/>
        </w:rPr>
        <w:t xml:space="preserve">Yet the plan was still insisting on the discharge. </w:t>
      </w:r>
    </w:p>
    <w:p w14:paraId="45A4E859" w14:textId="5B4C332B" w:rsidR="00A42A26" w:rsidRDefault="004678E9" w:rsidP="001B6D48">
      <w:pPr>
        <w:pStyle w:val="ListParagraph"/>
        <w:numPr>
          <w:ilvl w:val="0"/>
          <w:numId w:val="6"/>
        </w:numPr>
        <w:ind w:left="720"/>
        <w:rPr>
          <w:rFonts w:cstheme="minorHAnsi"/>
          <w:sz w:val="22"/>
          <w:szCs w:val="22"/>
        </w:rPr>
      </w:pPr>
      <w:r>
        <w:rPr>
          <w:rFonts w:cstheme="minorHAnsi"/>
          <w:sz w:val="22"/>
          <w:szCs w:val="22"/>
        </w:rPr>
        <w:t xml:space="preserve">In </w:t>
      </w:r>
      <w:r w:rsidR="004E1009" w:rsidRPr="004678E9">
        <w:rPr>
          <w:rFonts w:cstheme="minorHAnsi"/>
          <w:sz w:val="22"/>
          <w:szCs w:val="22"/>
        </w:rPr>
        <w:t>Michigan, we have heard multiple stories where a combination of staffing shortages and/or COVID outbreaks have reduced the number of available post-acute care skilled nursing facility beds</w:t>
      </w:r>
      <w:r w:rsidR="00B81731">
        <w:rPr>
          <w:rFonts w:cstheme="minorHAnsi"/>
          <w:sz w:val="22"/>
          <w:szCs w:val="22"/>
        </w:rPr>
        <w:t xml:space="preserve"> in a community/service area</w:t>
      </w:r>
      <w:r w:rsidR="004E1009" w:rsidRPr="004678E9">
        <w:rPr>
          <w:rFonts w:cstheme="minorHAnsi"/>
          <w:sz w:val="22"/>
          <w:szCs w:val="22"/>
        </w:rPr>
        <w:t xml:space="preserve">. The impact is </w:t>
      </w:r>
      <w:r w:rsidR="00B81731">
        <w:rPr>
          <w:rFonts w:cstheme="minorHAnsi"/>
          <w:sz w:val="22"/>
          <w:szCs w:val="22"/>
        </w:rPr>
        <w:t xml:space="preserve">area </w:t>
      </w:r>
      <w:r w:rsidR="004E1009" w:rsidRPr="004678E9">
        <w:rPr>
          <w:rFonts w:cstheme="minorHAnsi"/>
          <w:sz w:val="22"/>
          <w:szCs w:val="22"/>
        </w:rPr>
        <w:t xml:space="preserve">hospitals have </w:t>
      </w:r>
      <w:r w:rsidR="00B60068">
        <w:rPr>
          <w:rFonts w:cstheme="minorHAnsi"/>
          <w:sz w:val="22"/>
          <w:szCs w:val="22"/>
        </w:rPr>
        <w:t xml:space="preserve">a backlog of patients who can be discharged but have no appropriate place to discharge them to. </w:t>
      </w:r>
      <w:r w:rsidR="009E48E0">
        <w:rPr>
          <w:rFonts w:cstheme="minorHAnsi"/>
          <w:sz w:val="22"/>
          <w:szCs w:val="22"/>
        </w:rPr>
        <w:t xml:space="preserve">Clearly, post-acute care availability fluctuates daily. </w:t>
      </w:r>
      <w:r w:rsidR="004E1009" w:rsidRPr="004678E9">
        <w:rPr>
          <w:rFonts w:cstheme="minorHAnsi"/>
          <w:sz w:val="22"/>
          <w:szCs w:val="22"/>
        </w:rPr>
        <w:t>This inability to transfer the patient to a SNF</w:t>
      </w:r>
      <w:r w:rsidR="00F6631A">
        <w:rPr>
          <w:rFonts w:cstheme="minorHAnsi"/>
          <w:sz w:val="22"/>
          <w:szCs w:val="22"/>
        </w:rPr>
        <w:t>,</w:t>
      </w:r>
      <w:r w:rsidR="004E1009" w:rsidRPr="004678E9">
        <w:rPr>
          <w:rFonts w:cstheme="minorHAnsi"/>
          <w:sz w:val="22"/>
          <w:szCs w:val="22"/>
        </w:rPr>
        <w:t xml:space="preserve"> in turn</w:t>
      </w:r>
      <w:r w:rsidR="00F6631A">
        <w:rPr>
          <w:rFonts w:cstheme="minorHAnsi"/>
          <w:sz w:val="22"/>
          <w:szCs w:val="22"/>
        </w:rPr>
        <w:t>,</w:t>
      </w:r>
      <w:r w:rsidR="004E1009" w:rsidRPr="004678E9">
        <w:rPr>
          <w:rFonts w:cstheme="minorHAnsi"/>
          <w:sz w:val="22"/>
          <w:szCs w:val="22"/>
        </w:rPr>
        <w:t xml:space="preserve"> reduces the number of available hospital beds in the community for new admissions. MA enrollees may have more limited options as hospitals must transfer them only to a contracted SNF that may not have an </w:t>
      </w:r>
      <w:r w:rsidR="00C25484" w:rsidRPr="004678E9">
        <w:rPr>
          <w:rFonts w:cstheme="minorHAnsi"/>
          <w:sz w:val="22"/>
          <w:szCs w:val="22"/>
        </w:rPr>
        <w:t>available bed</w:t>
      </w:r>
      <w:r w:rsidR="004E1009" w:rsidRPr="004678E9">
        <w:rPr>
          <w:rFonts w:cstheme="minorHAnsi"/>
          <w:sz w:val="22"/>
          <w:szCs w:val="22"/>
        </w:rPr>
        <w:t xml:space="preserve">. Patients shouldn’t have to wait to receive needed services because there isn’t a contracted SNF bed available when a non-contracted provider is able to accept the admission. This situation affects Medicare FFS and Medicare Advantage patients alike but </w:t>
      </w:r>
      <w:proofErr w:type="gramStart"/>
      <w:r w:rsidR="004E1009" w:rsidRPr="004678E9">
        <w:rPr>
          <w:rFonts w:cstheme="minorHAnsi"/>
          <w:sz w:val="22"/>
          <w:szCs w:val="22"/>
        </w:rPr>
        <w:t>a</w:t>
      </w:r>
      <w:proofErr w:type="gramEnd"/>
      <w:r w:rsidR="004E1009" w:rsidRPr="004678E9">
        <w:rPr>
          <w:rFonts w:cstheme="minorHAnsi"/>
          <w:sz w:val="22"/>
          <w:szCs w:val="22"/>
        </w:rPr>
        <w:t xml:space="preserve"> FFS patient would be allowed to move into </w:t>
      </w:r>
      <w:r w:rsidR="004E5360">
        <w:rPr>
          <w:rFonts w:cstheme="minorHAnsi"/>
          <w:sz w:val="22"/>
          <w:szCs w:val="22"/>
        </w:rPr>
        <w:t>any</w:t>
      </w:r>
      <w:r w:rsidR="004E1009" w:rsidRPr="004678E9">
        <w:rPr>
          <w:rFonts w:cstheme="minorHAnsi"/>
          <w:sz w:val="22"/>
          <w:szCs w:val="22"/>
        </w:rPr>
        <w:t xml:space="preserve"> available bed. The MA plans in the area have offered no indication that they can use the PHE flexibilities to remedy the situation. Others have indicated that since the state emergency declaration has ended that the special requirements no longer apply even though the national PHE remains</w:t>
      </w:r>
      <w:r w:rsidR="008227A7">
        <w:rPr>
          <w:rFonts w:cstheme="minorHAnsi"/>
          <w:sz w:val="22"/>
          <w:szCs w:val="22"/>
        </w:rPr>
        <w:t xml:space="preserve"> in effect</w:t>
      </w:r>
      <w:r w:rsidR="004E1009" w:rsidRPr="004678E9">
        <w:rPr>
          <w:rFonts w:cstheme="minorHAnsi"/>
          <w:sz w:val="22"/>
          <w:szCs w:val="22"/>
        </w:rPr>
        <w:t>. Certainly, the proposed changes to section 422.100(m) contained within the proposed rules will help resolve the current ambiguity about when the special requirements apply in the latter situation.</w:t>
      </w:r>
    </w:p>
    <w:p w14:paraId="6FD5B69D" w14:textId="7F5B47ED" w:rsidR="004E1009" w:rsidRPr="007B45C6" w:rsidRDefault="00A42A26" w:rsidP="007B45C6">
      <w:pPr>
        <w:pStyle w:val="ListParagraph"/>
        <w:numPr>
          <w:ilvl w:val="0"/>
          <w:numId w:val="6"/>
        </w:numPr>
        <w:ind w:left="720"/>
        <w:rPr>
          <w:rFonts w:cstheme="minorHAnsi"/>
          <w:sz w:val="22"/>
          <w:szCs w:val="22"/>
        </w:rPr>
      </w:pPr>
      <w:r>
        <w:rPr>
          <w:rFonts w:cstheme="minorHAnsi"/>
          <w:sz w:val="22"/>
          <w:szCs w:val="22"/>
        </w:rPr>
        <w:t xml:space="preserve">We have heard that one of the major national plans </w:t>
      </w:r>
      <w:r w:rsidR="003A196A">
        <w:rPr>
          <w:rFonts w:cstheme="minorHAnsi"/>
          <w:sz w:val="22"/>
          <w:szCs w:val="22"/>
        </w:rPr>
        <w:t xml:space="preserve">initially eliminated the need for prior authorizations </w:t>
      </w:r>
      <w:r w:rsidR="002052C1">
        <w:rPr>
          <w:rFonts w:cstheme="minorHAnsi"/>
          <w:sz w:val="22"/>
          <w:szCs w:val="22"/>
        </w:rPr>
        <w:t xml:space="preserve">but did so on a month-by-month basis. </w:t>
      </w:r>
      <w:r w:rsidR="00EC0520" w:rsidRPr="007B45C6">
        <w:rPr>
          <w:rFonts w:cstheme="minorHAnsi"/>
          <w:sz w:val="22"/>
          <w:szCs w:val="22"/>
        </w:rPr>
        <w:t xml:space="preserve">In November 2020, we got word </w:t>
      </w:r>
      <w:r w:rsidR="00B714E3" w:rsidRPr="007B45C6">
        <w:rPr>
          <w:rFonts w:cstheme="minorHAnsi"/>
          <w:sz w:val="22"/>
          <w:szCs w:val="22"/>
        </w:rPr>
        <w:t>that</w:t>
      </w:r>
      <w:r w:rsidR="00EB62D0" w:rsidRPr="007B45C6">
        <w:rPr>
          <w:rFonts w:cstheme="minorHAnsi"/>
          <w:sz w:val="22"/>
          <w:szCs w:val="22"/>
        </w:rPr>
        <w:t xml:space="preserve"> from </w:t>
      </w:r>
      <w:r w:rsidR="007B45C6" w:rsidRPr="007B45C6">
        <w:rPr>
          <w:rFonts w:cstheme="minorHAnsi"/>
          <w:sz w:val="22"/>
          <w:szCs w:val="22"/>
        </w:rPr>
        <w:t xml:space="preserve">this same </w:t>
      </w:r>
      <w:r w:rsidR="00EB62D0" w:rsidRPr="007B45C6">
        <w:rPr>
          <w:rFonts w:cstheme="minorHAnsi"/>
          <w:sz w:val="22"/>
          <w:szCs w:val="22"/>
        </w:rPr>
        <w:t>state that</w:t>
      </w:r>
      <w:r w:rsidR="00AE4B01" w:rsidRPr="007B45C6">
        <w:rPr>
          <w:rFonts w:cstheme="minorHAnsi"/>
          <w:sz w:val="22"/>
          <w:szCs w:val="22"/>
        </w:rPr>
        <w:t>,</w:t>
      </w:r>
      <w:r w:rsidR="00B714E3" w:rsidRPr="007B45C6">
        <w:rPr>
          <w:rFonts w:cstheme="minorHAnsi"/>
          <w:sz w:val="22"/>
          <w:szCs w:val="22"/>
        </w:rPr>
        <w:t xml:space="preserve"> </w:t>
      </w:r>
      <w:r w:rsidR="00AE4B01" w:rsidRPr="007B45C6">
        <w:rPr>
          <w:rFonts w:cstheme="minorHAnsi"/>
          <w:sz w:val="22"/>
          <w:szCs w:val="22"/>
        </w:rPr>
        <w:t>“people are</w:t>
      </w:r>
      <w:r w:rsidR="00B714E3" w:rsidRPr="007B45C6">
        <w:rPr>
          <w:rFonts w:cstheme="minorHAnsi"/>
          <w:sz w:val="22"/>
          <w:szCs w:val="22"/>
        </w:rPr>
        <w:t xml:space="preserve"> stack</w:t>
      </w:r>
      <w:r w:rsidR="00AE4B01" w:rsidRPr="007B45C6">
        <w:rPr>
          <w:rFonts w:cstheme="minorHAnsi"/>
          <w:sz w:val="22"/>
          <w:szCs w:val="22"/>
        </w:rPr>
        <w:t>ing</w:t>
      </w:r>
      <w:r w:rsidR="00B714E3" w:rsidRPr="007B45C6">
        <w:rPr>
          <w:rFonts w:cstheme="minorHAnsi"/>
          <w:sz w:val="22"/>
          <w:szCs w:val="22"/>
        </w:rPr>
        <w:t xml:space="preserve"> up in the hospital because the plans aren’t approving prior authorizations for SNF care.”</w:t>
      </w:r>
    </w:p>
    <w:p w14:paraId="6030D0B2" w14:textId="77777777" w:rsidR="00EB62D0" w:rsidRPr="007B45C6" w:rsidRDefault="00EB62D0" w:rsidP="007B45C6">
      <w:pPr>
        <w:ind w:left="720"/>
        <w:rPr>
          <w:rFonts w:cstheme="minorHAnsi"/>
          <w:sz w:val="22"/>
          <w:szCs w:val="22"/>
        </w:rPr>
      </w:pPr>
    </w:p>
    <w:p w14:paraId="7D730AF8" w14:textId="77777777" w:rsidR="00CD3FEA" w:rsidRDefault="004E1009" w:rsidP="000830A5">
      <w:pPr>
        <w:rPr>
          <w:rFonts w:cstheme="minorHAnsi"/>
          <w:sz w:val="22"/>
          <w:szCs w:val="22"/>
        </w:rPr>
      </w:pPr>
      <w:r w:rsidRPr="00996E3C">
        <w:rPr>
          <w:rFonts w:cstheme="minorHAnsi"/>
          <w:sz w:val="22"/>
          <w:szCs w:val="22"/>
        </w:rPr>
        <w:t xml:space="preserve">In addition to pandemic times, we often hear from our provider members throughout the country of their frustrations how prior authorizations work under </w:t>
      </w:r>
      <w:r w:rsidR="00C25484">
        <w:rPr>
          <w:rFonts w:cstheme="minorHAnsi"/>
          <w:sz w:val="22"/>
          <w:szCs w:val="22"/>
        </w:rPr>
        <w:t>MA/SNP plans</w:t>
      </w:r>
      <w:r w:rsidRPr="00996E3C">
        <w:rPr>
          <w:rFonts w:cstheme="minorHAnsi"/>
          <w:sz w:val="22"/>
          <w:szCs w:val="22"/>
        </w:rPr>
        <w:t xml:space="preserve"> under the course of regular business. In some locations around the U</w:t>
      </w:r>
      <w:r w:rsidR="00732944">
        <w:rPr>
          <w:rFonts w:cstheme="minorHAnsi"/>
          <w:sz w:val="22"/>
          <w:szCs w:val="22"/>
        </w:rPr>
        <w:t>.</w:t>
      </w:r>
      <w:r w:rsidRPr="00996E3C">
        <w:rPr>
          <w:rFonts w:cstheme="minorHAnsi"/>
          <w:sz w:val="22"/>
          <w:szCs w:val="22"/>
        </w:rPr>
        <w:t>S</w:t>
      </w:r>
      <w:r w:rsidR="00732944">
        <w:rPr>
          <w:rFonts w:cstheme="minorHAnsi"/>
          <w:sz w:val="22"/>
          <w:szCs w:val="22"/>
        </w:rPr>
        <w:t>.</w:t>
      </w:r>
      <w:r w:rsidRPr="00996E3C">
        <w:rPr>
          <w:rFonts w:cstheme="minorHAnsi"/>
          <w:sz w:val="22"/>
          <w:szCs w:val="22"/>
        </w:rPr>
        <w:t xml:space="preserve">, prior authorizations for SNF services can take </w:t>
      </w:r>
      <w:r w:rsidR="00732944">
        <w:rPr>
          <w:rFonts w:cstheme="minorHAnsi"/>
          <w:sz w:val="22"/>
          <w:szCs w:val="22"/>
        </w:rPr>
        <w:t xml:space="preserve">as long as </w:t>
      </w:r>
      <w:r w:rsidRPr="00996E3C">
        <w:rPr>
          <w:rFonts w:cstheme="minorHAnsi"/>
          <w:sz w:val="22"/>
          <w:szCs w:val="22"/>
        </w:rPr>
        <w:t xml:space="preserve">20-30 days. By the time the decision is made, the SNF services have started and ended. In the meantime, the SNF was required to inform the enrollee that if they choose to access the SNF care recommended by their discharging physician at the hospital, the MA plan may not </w:t>
      </w:r>
      <w:proofErr w:type="gramStart"/>
      <w:r w:rsidRPr="00996E3C">
        <w:rPr>
          <w:rFonts w:cstheme="minorHAnsi"/>
          <w:sz w:val="22"/>
          <w:szCs w:val="22"/>
        </w:rPr>
        <w:t>pay</w:t>
      </w:r>
      <w:proofErr w:type="gramEnd"/>
      <w:r w:rsidRPr="00996E3C">
        <w:rPr>
          <w:rFonts w:cstheme="minorHAnsi"/>
          <w:sz w:val="22"/>
          <w:szCs w:val="22"/>
        </w:rPr>
        <w:t xml:space="preserve"> and the</w:t>
      </w:r>
      <w:r w:rsidR="005B373A">
        <w:rPr>
          <w:rFonts w:cstheme="minorHAnsi"/>
          <w:sz w:val="22"/>
          <w:szCs w:val="22"/>
        </w:rPr>
        <w:t xml:space="preserve"> enrollee</w:t>
      </w:r>
      <w:r w:rsidRPr="00996E3C">
        <w:rPr>
          <w:rFonts w:cstheme="minorHAnsi"/>
          <w:sz w:val="22"/>
          <w:szCs w:val="22"/>
        </w:rPr>
        <w:t xml:space="preserve"> would be </w:t>
      </w:r>
      <w:r w:rsidR="005B373A">
        <w:rPr>
          <w:rFonts w:cstheme="minorHAnsi"/>
          <w:sz w:val="22"/>
          <w:szCs w:val="22"/>
        </w:rPr>
        <w:t xml:space="preserve">financially </w:t>
      </w:r>
      <w:r w:rsidRPr="00996E3C">
        <w:rPr>
          <w:rFonts w:cstheme="minorHAnsi"/>
          <w:sz w:val="22"/>
          <w:szCs w:val="22"/>
        </w:rPr>
        <w:t xml:space="preserve">responsible for the full cost of services received. This is not the type of stress beneficiaries need when they have recently been discharged from a hospital and require additional skilled care services. </w:t>
      </w:r>
    </w:p>
    <w:p w14:paraId="52B82BFA" w14:textId="77777777" w:rsidR="00CD3FEA" w:rsidRDefault="00CD3FEA" w:rsidP="000830A5">
      <w:pPr>
        <w:rPr>
          <w:rFonts w:cstheme="minorHAnsi"/>
          <w:sz w:val="22"/>
          <w:szCs w:val="22"/>
        </w:rPr>
      </w:pPr>
    </w:p>
    <w:p w14:paraId="6E6D91EB" w14:textId="4178CF5E" w:rsidR="00D72E31" w:rsidRDefault="004E1009" w:rsidP="000830A5">
      <w:pPr>
        <w:rPr>
          <w:rFonts w:cstheme="minorHAnsi"/>
          <w:sz w:val="22"/>
          <w:szCs w:val="22"/>
        </w:rPr>
      </w:pPr>
      <w:r w:rsidRPr="00996E3C">
        <w:rPr>
          <w:rFonts w:cstheme="minorHAnsi"/>
          <w:sz w:val="22"/>
          <w:szCs w:val="22"/>
        </w:rPr>
        <w:t>We believe that if MA</w:t>
      </w:r>
      <w:r w:rsidR="00CE76E6">
        <w:rPr>
          <w:rFonts w:cstheme="minorHAnsi"/>
          <w:sz w:val="22"/>
          <w:szCs w:val="22"/>
        </w:rPr>
        <w:t xml:space="preserve"> plan</w:t>
      </w:r>
      <w:r w:rsidRPr="00996E3C">
        <w:rPr>
          <w:rFonts w:cstheme="minorHAnsi"/>
          <w:sz w:val="22"/>
          <w:szCs w:val="22"/>
        </w:rPr>
        <w:t xml:space="preserve">s opt to use utilization management tools such as prior authorization, then they should staff those divisions adequately to meet the caseload that they themselves create. We ask CMS </w:t>
      </w:r>
      <w:r w:rsidR="00AA0750">
        <w:rPr>
          <w:rFonts w:cstheme="minorHAnsi"/>
          <w:sz w:val="22"/>
          <w:szCs w:val="22"/>
        </w:rPr>
        <w:t xml:space="preserve">to </w:t>
      </w:r>
      <w:r w:rsidRPr="00996E3C">
        <w:rPr>
          <w:rFonts w:cstheme="minorHAnsi"/>
          <w:sz w:val="22"/>
          <w:szCs w:val="22"/>
        </w:rPr>
        <w:t>consider</w:t>
      </w:r>
      <w:r w:rsidR="00F01B86">
        <w:rPr>
          <w:rFonts w:cstheme="minorHAnsi"/>
          <w:sz w:val="22"/>
          <w:szCs w:val="22"/>
        </w:rPr>
        <w:t xml:space="preserve"> </w:t>
      </w:r>
      <w:r w:rsidRPr="00996E3C">
        <w:rPr>
          <w:rFonts w:cstheme="minorHAnsi"/>
          <w:sz w:val="22"/>
          <w:szCs w:val="22"/>
        </w:rPr>
        <w:t>amending the MA regulations to include a section that establishes reasonable timeframes by which plans must issue these utilization management determinations (</w:t>
      </w:r>
      <w:proofErr w:type="gramStart"/>
      <w:r w:rsidRPr="00996E3C">
        <w:rPr>
          <w:rFonts w:cstheme="minorHAnsi"/>
          <w:sz w:val="22"/>
          <w:szCs w:val="22"/>
        </w:rPr>
        <w:t>e.g.</w:t>
      </w:r>
      <w:proofErr w:type="gramEnd"/>
      <w:r w:rsidRPr="00996E3C">
        <w:rPr>
          <w:rFonts w:cstheme="minorHAnsi"/>
          <w:sz w:val="22"/>
          <w:szCs w:val="22"/>
        </w:rPr>
        <w:t xml:space="preserve"> prior authorizations) and establish</w:t>
      </w:r>
      <w:r w:rsidR="00583DC5">
        <w:rPr>
          <w:rFonts w:cstheme="minorHAnsi"/>
          <w:sz w:val="22"/>
          <w:szCs w:val="22"/>
        </w:rPr>
        <w:t>es</w:t>
      </w:r>
      <w:r w:rsidRPr="00996E3C">
        <w:rPr>
          <w:rFonts w:cstheme="minorHAnsi"/>
          <w:sz w:val="22"/>
          <w:szCs w:val="22"/>
        </w:rPr>
        <w:t xml:space="preserve"> some consequences or penalties for failure to meet these timelines. </w:t>
      </w:r>
      <w:r w:rsidR="0097267F">
        <w:rPr>
          <w:rFonts w:cstheme="minorHAnsi"/>
          <w:sz w:val="22"/>
          <w:szCs w:val="22"/>
        </w:rPr>
        <w:t>CMS could establish language that if a plan f</w:t>
      </w:r>
      <w:r w:rsidR="00CD2BBA">
        <w:rPr>
          <w:rFonts w:cstheme="minorHAnsi"/>
          <w:sz w:val="22"/>
          <w:szCs w:val="22"/>
        </w:rPr>
        <w:t xml:space="preserve">ails to approve a prior authorization within a certain number of days established by the HHS </w:t>
      </w:r>
      <w:proofErr w:type="gramStart"/>
      <w:r w:rsidR="00CD2BBA">
        <w:rPr>
          <w:rFonts w:cstheme="minorHAnsi"/>
          <w:sz w:val="22"/>
          <w:szCs w:val="22"/>
        </w:rPr>
        <w:t>Secretary</w:t>
      </w:r>
      <w:proofErr w:type="gramEnd"/>
      <w:r w:rsidR="00CD2BBA">
        <w:rPr>
          <w:rFonts w:cstheme="minorHAnsi"/>
          <w:sz w:val="22"/>
          <w:szCs w:val="22"/>
        </w:rPr>
        <w:t xml:space="preserve"> then services would be automatically approved for a minimum number of days or visits as appropriate to the urgency and type of service. </w:t>
      </w:r>
      <w:r w:rsidR="0089465B">
        <w:rPr>
          <w:rFonts w:cstheme="minorHAnsi"/>
          <w:sz w:val="22"/>
          <w:szCs w:val="22"/>
        </w:rPr>
        <w:t xml:space="preserve">Alternatively, the HHS Secretary could establish timely prior authorizations requirements for plans and if a plan fails to make a timely decision, perhaps they are required to pre-pay providers for similar services for the next 6 months when prior authorizations are pending. </w:t>
      </w:r>
      <w:r w:rsidR="00342007">
        <w:rPr>
          <w:rFonts w:cstheme="minorHAnsi"/>
          <w:sz w:val="22"/>
          <w:szCs w:val="22"/>
        </w:rPr>
        <w:t>In addition, CMS might consider tracking prior authorization decisions as part of star rating system</w:t>
      </w:r>
      <w:r w:rsidR="008630D3">
        <w:rPr>
          <w:rFonts w:cstheme="minorHAnsi"/>
          <w:sz w:val="22"/>
          <w:szCs w:val="22"/>
        </w:rPr>
        <w:t xml:space="preserve"> such as, what is the typical decision timeframe for a prior authorization? </w:t>
      </w:r>
      <w:r w:rsidR="00DA402D">
        <w:rPr>
          <w:rFonts w:cstheme="minorHAnsi"/>
          <w:sz w:val="22"/>
          <w:szCs w:val="22"/>
        </w:rPr>
        <w:t>How many prior authorizations are approved</w:t>
      </w:r>
      <w:r w:rsidR="0091558F">
        <w:rPr>
          <w:rFonts w:cstheme="minorHAnsi"/>
          <w:sz w:val="22"/>
          <w:szCs w:val="22"/>
        </w:rPr>
        <w:t xml:space="preserve"> and how many denied</w:t>
      </w:r>
      <w:r w:rsidR="00DA402D">
        <w:rPr>
          <w:rFonts w:cstheme="minorHAnsi"/>
          <w:sz w:val="22"/>
          <w:szCs w:val="22"/>
        </w:rPr>
        <w:t xml:space="preserve"> compared </w:t>
      </w:r>
      <w:r w:rsidR="00DA402D">
        <w:rPr>
          <w:rFonts w:cstheme="minorHAnsi"/>
          <w:sz w:val="22"/>
          <w:szCs w:val="22"/>
        </w:rPr>
        <w:lastRenderedPageBreak/>
        <w:t xml:space="preserve">to requested? How many are appealed? And of those appealed, how many are overturned? This might provide useful information in determining whether these </w:t>
      </w:r>
      <w:r w:rsidR="0091558F">
        <w:rPr>
          <w:rFonts w:cstheme="minorHAnsi"/>
          <w:sz w:val="22"/>
          <w:szCs w:val="22"/>
        </w:rPr>
        <w:t xml:space="preserve">administrative burden for these requests is warranted. </w:t>
      </w:r>
      <w:r w:rsidR="00E870F7">
        <w:rPr>
          <w:rFonts w:cstheme="minorHAnsi"/>
          <w:sz w:val="22"/>
          <w:szCs w:val="22"/>
        </w:rPr>
        <w:t xml:space="preserve">This is a </w:t>
      </w:r>
      <w:r w:rsidR="00A628B8">
        <w:rPr>
          <w:rFonts w:cstheme="minorHAnsi"/>
          <w:sz w:val="22"/>
          <w:szCs w:val="22"/>
        </w:rPr>
        <w:t>time-consuming</w:t>
      </w:r>
      <w:r w:rsidR="00E870F7">
        <w:rPr>
          <w:rFonts w:cstheme="minorHAnsi"/>
          <w:sz w:val="22"/>
          <w:szCs w:val="22"/>
        </w:rPr>
        <w:t xml:space="preserve"> process for providers and the question is whether they make a difference at all. </w:t>
      </w:r>
    </w:p>
    <w:p w14:paraId="6B2C89D7" w14:textId="77777777" w:rsidR="00D72E31" w:rsidRDefault="00D72E31" w:rsidP="000830A5">
      <w:pPr>
        <w:rPr>
          <w:rFonts w:cstheme="minorHAnsi"/>
          <w:sz w:val="22"/>
          <w:szCs w:val="22"/>
        </w:rPr>
      </w:pPr>
    </w:p>
    <w:p w14:paraId="215EA411" w14:textId="03A42674" w:rsidR="004E1009" w:rsidRPr="00996E3C" w:rsidRDefault="00A160F7" w:rsidP="000830A5">
      <w:pPr>
        <w:rPr>
          <w:rFonts w:cstheme="minorHAnsi"/>
          <w:sz w:val="22"/>
          <w:szCs w:val="22"/>
        </w:rPr>
      </w:pPr>
      <w:r>
        <w:rPr>
          <w:rFonts w:cstheme="minorHAnsi"/>
          <w:sz w:val="22"/>
          <w:szCs w:val="22"/>
        </w:rPr>
        <w:t xml:space="preserve">In addition to prior authorization and other utilization management decisions not being made timely, </w:t>
      </w:r>
      <w:r w:rsidR="00E61C23">
        <w:rPr>
          <w:rFonts w:cstheme="minorHAnsi"/>
          <w:sz w:val="22"/>
          <w:szCs w:val="22"/>
        </w:rPr>
        <w:t xml:space="preserve">the </w:t>
      </w:r>
      <w:r w:rsidR="00751CF4">
        <w:rPr>
          <w:rFonts w:cstheme="minorHAnsi"/>
          <w:sz w:val="22"/>
          <w:szCs w:val="22"/>
        </w:rPr>
        <w:t xml:space="preserve">2018 </w:t>
      </w:r>
      <w:hyperlink r:id="rId9" w:history="1">
        <w:r w:rsidR="00E61C23" w:rsidRPr="00D632B8">
          <w:rPr>
            <w:rStyle w:val="Hyperlink"/>
            <w:rFonts w:cstheme="minorHAnsi"/>
            <w:sz w:val="22"/>
            <w:szCs w:val="22"/>
          </w:rPr>
          <w:t>OIG report</w:t>
        </w:r>
      </w:hyperlink>
      <w:r w:rsidR="00E61C23">
        <w:rPr>
          <w:rFonts w:cstheme="minorHAnsi"/>
          <w:sz w:val="22"/>
          <w:szCs w:val="22"/>
        </w:rPr>
        <w:t xml:space="preserve"> </w:t>
      </w:r>
      <w:r>
        <w:rPr>
          <w:rFonts w:cstheme="minorHAnsi"/>
          <w:sz w:val="22"/>
          <w:szCs w:val="22"/>
        </w:rPr>
        <w:t>indicates when decisions are being made</w:t>
      </w:r>
      <w:r w:rsidR="00CE0A29">
        <w:rPr>
          <w:rFonts w:cstheme="minorHAnsi"/>
          <w:sz w:val="22"/>
          <w:szCs w:val="22"/>
        </w:rPr>
        <w:t>,</w:t>
      </w:r>
      <w:r>
        <w:rPr>
          <w:rFonts w:cstheme="minorHAnsi"/>
          <w:sz w:val="22"/>
          <w:szCs w:val="22"/>
        </w:rPr>
        <w:t xml:space="preserve"> they are not always correct. The report notes </w:t>
      </w:r>
      <w:r w:rsidR="00751CF4">
        <w:rPr>
          <w:rFonts w:cstheme="minorHAnsi"/>
          <w:sz w:val="22"/>
          <w:szCs w:val="22"/>
        </w:rPr>
        <w:t>that 75% of prior authorization denials are overturned by the plan upon appeal</w:t>
      </w:r>
      <w:r w:rsidR="001F5DD5">
        <w:rPr>
          <w:rFonts w:cstheme="minorHAnsi"/>
          <w:sz w:val="22"/>
          <w:szCs w:val="22"/>
        </w:rPr>
        <w:t xml:space="preserve"> and CMS cited 56% of audited contracts for making inappropriate denials. </w:t>
      </w:r>
      <w:r w:rsidR="00D840A1">
        <w:rPr>
          <w:rFonts w:cstheme="minorHAnsi"/>
          <w:sz w:val="22"/>
          <w:szCs w:val="22"/>
        </w:rPr>
        <w:t xml:space="preserve">These </w:t>
      </w:r>
      <w:r w:rsidR="00FD39F2">
        <w:rPr>
          <w:rFonts w:cstheme="minorHAnsi"/>
          <w:sz w:val="22"/>
          <w:szCs w:val="22"/>
        </w:rPr>
        <w:t>data</w:t>
      </w:r>
      <w:r w:rsidR="00D840A1">
        <w:rPr>
          <w:rFonts w:cstheme="minorHAnsi"/>
          <w:sz w:val="22"/>
          <w:szCs w:val="22"/>
        </w:rPr>
        <w:t xml:space="preserve"> would </w:t>
      </w:r>
      <w:r w:rsidR="004A6105">
        <w:rPr>
          <w:rFonts w:cstheme="minorHAnsi"/>
          <w:sz w:val="22"/>
          <w:szCs w:val="22"/>
        </w:rPr>
        <w:t xml:space="preserve">suggest changes need to be made to </w:t>
      </w:r>
      <w:r w:rsidR="00FD39F2">
        <w:rPr>
          <w:rFonts w:cstheme="minorHAnsi"/>
          <w:sz w:val="22"/>
          <w:szCs w:val="22"/>
        </w:rPr>
        <w:t>these processes. T</w:t>
      </w:r>
      <w:r w:rsidR="00D840A1">
        <w:rPr>
          <w:rFonts w:cstheme="minorHAnsi"/>
          <w:sz w:val="22"/>
          <w:szCs w:val="22"/>
        </w:rPr>
        <w:t>he report</w:t>
      </w:r>
      <w:r w:rsidR="00FD39F2">
        <w:rPr>
          <w:rFonts w:cstheme="minorHAnsi"/>
          <w:sz w:val="22"/>
          <w:szCs w:val="22"/>
        </w:rPr>
        <w:t xml:space="preserve"> also </w:t>
      </w:r>
      <w:r w:rsidR="002E2EDC">
        <w:rPr>
          <w:rFonts w:cstheme="minorHAnsi"/>
          <w:sz w:val="22"/>
          <w:szCs w:val="22"/>
        </w:rPr>
        <w:t>agrees</w:t>
      </w:r>
      <w:r w:rsidR="001B6685">
        <w:rPr>
          <w:rFonts w:cstheme="minorHAnsi"/>
          <w:sz w:val="22"/>
          <w:szCs w:val="22"/>
        </w:rPr>
        <w:t xml:space="preserve"> that penalties and sanctions aren’t working</w:t>
      </w:r>
      <w:r w:rsidR="00D840A1">
        <w:rPr>
          <w:rFonts w:cstheme="minorHAnsi"/>
          <w:sz w:val="22"/>
          <w:szCs w:val="22"/>
        </w:rPr>
        <w:t xml:space="preserve">, </w:t>
      </w:r>
      <w:r w:rsidR="000F3BB1">
        <w:rPr>
          <w:rFonts w:cstheme="minorHAnsi"/>
          <w:sz w:val="22"/>
          <w:szCs w:val="22"/>
        </w:rPr>
        <w:t>“CMS took enforcement actions against MAOs, including issuing penalties and imposing sanctions. Because CMS continues to see the same types of violations in its audits of</w:t>
      </w:r>
      <w:r w:rsidR="00D840A1">
        <w:rPr>
          <w:rFonts w:cstheme="minorHAnsi"/>
          <w:sz w:val="22"/>
          <w:szCs w:val="22"/>
        </w:rPr>
        <w:t xml:space="preserve"> different MAOs every year, however, more action is needed to address these critical issues.” </w:t>
      </w:r>
      <w:r w:rsidR="00FB05C9">
        <w:rPr>
          <w:rFonts w:cstheme="minorHAnsi"/>
          <w:sz w:val="22"/>
          <w:szCs w:val="22"/>
        </w:rPr>
        <w:t>For these reasons, w</w:t>
      </w:r>
      <w:r w:rsidR="004E1009" w:rsidRPr="00996E3C">
        <w:rPr>
          <w:rFonts w:cstheme="minorHAnsi"/>
          <w:sz w:val="22"/>
          <w:szCs w:val="22"/>
        </w:rPr>
        <w:t xml:space="preserve">e encourage CMS to </w:t>
      </w:r>
      <w:r w:rsidR="00FB05C9">
        <w:rPr>
          <w:rFonts w:cstheme="minorHAnsi"/>
          <w:sz w:val="22"/>
          <w:szCs w:val="22"/>
        </w:rPr>
        <w:t xml:space="preserve">take a </w:t>
      </w:r>
      <w:r w:rsidR="005B0FEF">
        <w:rPr>
          <w:rFonts w:cstheme="minorHAnsi"/>
          <w:sz w:val="22"/>
          <w:szCs w:val="22"/>
        </w:rPr>
        <w:t xml:space="preserve">broader </w:t>
      </w:r>
      <w:r w:rsidR="00FB05C9">
        <w:rPr>
          <w:rFonts w:cstheme="minorHAnsi"/>
          <w:sz w:val="22"/>
          <w:szCs w:val="22"/>
        </w:rPr>
        <w:t xml:space="preserve">approach to </w:t>
      </w:r>
      <w:r w:rsidR="00FC6DB1">
        <w:rPr>
          <w:rFonts w:cstheme="minorHAnsi"/>
          <w:sz w:val="22"/>
          <w:szCs w:val="22"/>
        </w:rPr>
        <w:t xml:space="preserve">any future regulations </w:t>
      </w:r>
      <w:r w:rsidR="002A6296">
        <w:rPr>
          <w:rFonts w:cstheme="minorHAnsi"/>
          <w:sz w:val="22"/>
          <w:szCs w:val="22"/>
        </w:rPr>
        <w:t xml:space="preserve">regarding </w:t>
      </w:r>
      <w:r w:rsidR="000E5652">
        <w:rPr>
          <w:rFonts w:cstheme="minorHAnsi"/>
          <w:sz w:val="22"/>
          <w:szCs w:val="22"/>
        </w:rPr>
        <w:t>prior authorizations and other utilization management tools</w:t>
      </w:r>
      <w:r w:rsidR="00FC6DB1">
        <w:rPr>
          <w:rFonts w:cstheme="minorHAnsi"/>
          <w:sz w:val="22"/>
          <w:szCs w:val="22"/>
        </w:rPr>
        <w:t xml:space="preserve"> as there are concerns not only with how these processes work in a public health emergency as well as under normal circumstances. </w:t>
      </w:r>
      <w:r w:rsidR="004E1009" w:rsidRPr="00996E3C">
        <w:rPr>
          <w:rFonts w:cstheme="minorHAnsi"/>
          <w:sz w:val="22"/>
          <w:szCs w:val="22"/>
        </w:rPr>
        <w:t xml:space="preserve"> </w:t>
      </w:r>
    </w:p>
    <w:p w14:paraId="0C40C169" w14:textId="77777777" w:rsidR="00570FE1" w:rsidRPr="00996E3C" w:rsidRDefault="00570FE1" w:rsidP="00570FE1">
      <w:pPr>
        <w:rPr>
          <w:rFonts w:cstheme="minorHAnsi"/>
          <w:b/>
          <w:bCs/>
          <w:sz w:val="22"/>
          <w:szCs w:val="22"/>
        </w:rPr>
      </w:pPr>
    </w:p>
    <w:p w14:paraId="3485B74F" w14:textId="77777777" w:rsidR="003257AE" w:rsidRDefault="00275D00" w:rsidP="00570FE1">
      <w:pPr>
        <w:rPr>
          <w:rFonts w:cstheme="minorHAnsi"/>
          <w:sz w:val="22"/>
          <w:szCs w:val="22"/>
        </w:rPr>
      </w:pPr>
      <w:r w:rsidRPr="008B6A4E">
        <w:rPr>
          <w:rFonts w:cstheme="minorHAnsi"/>
          <w:b/>
          <w:bCs/>
          <w:i/>
          <w:iCs/>
          <w:sz w:val="22"/>
          <w:szCs w:val="22"/>
        </w:rPr>
        <w:t>Coordination of Supplemental Benefits</w:t>
      </w:r>
      <w:r w:rsidR="003F79F9" w:rsidRPr="00996E3C">
        <w:rPr>
          <w:rFonts w:cstheme="minorHAnsi"/>
          <w:sz w:val="22"/>
          <w:szCs w:val="22"/>
        </w:rPr>
        <w:t xml:space="preserve"> </w:t>
      </w:r>
    </w:p>
    <w:p w14:paraId="07EFDB8E" w14:textId="33FF62AB" w:rsidR="004817C8" w:rsidRPr="00996E3C" w:rsidRDefault="00246D81" w:rsidP="00C77940">
      <w:pPr>
        <w:pStyle w:val="ListParagraph"/>
        <w:ind w:left="0"/>
        <w:rPr>
          <w:rFonts w:cstheme="minorHAnsi"/>
          <w:sz w:val="22"/>
          <w:szCs w:val="22"/>
        </w:rPr>
      </w:pPr>
      <w:r w:rsidRPr="00996E3C">
        <w:rPr>
          <w:rFonts w:cstheme="minorHAnsi"/>
          <w:sz w:val="22"/>
          <w:szCs w:val="22"/>
        </w:rPr>
        <w:t xml:space="preserve">We strongly support efforts to integrate Medicaid and Medicare services for dual eligible especially when it simplifies or clarifies the payer of the service and </w:t>
      </w:r>
      <w:r w:rsidR="00EE7DFE" w:rsidRPr="00996E3C">
        <w:rPr>
          <w:rFonts w:cstheme="minorHAnsi"/>
          <w:sz w:val="22"/>
          <w:szCs w:val="22"/>
        </w:rPr>
        <w:t xml:space="preserve">eases access for the beneficiary. As CMS and the states further contemplate the coordination between traditional Medicare and Medicaid benefits and the supplemental benefits that plans offer, we encourage them to remember that </w:t>
      </w:r>
      <w:r w:rsidR="001D3471" w:rsidRPr="00996E3C">
        <w:rPr>
          <w:rFonts w:cstheme="minorHAnsi"/>
          <w:sz w:val="22"/>
          <w:szCs w:val="22"/>
        </w:rPr>
        <w:t xml:space="preserve">non-medical and special supplemental benefits for the chronically ill (SSBCI) </w:t>
      </w:r>
      <w:r w:rsidR="00EE7DFE" w:rsidRPr="00996E3C">
        <w:rPr>
          <w:rFonts w:cstheme="minorHAnsi"/>
          <w:sz w:val="22"/>
          <w:szCs w:val="22"/>
        </w:rPr>
        <w:t xml:space="preserve">supplemental benefit offerings </w:t>
      </w:r>
      <w:r w:rsidR="001D3471" w:rsidRPr="00996E3C">
        <w:rPr>
          <w:rFonts w:cstheme="minorHAnsi"/>
          <w:sz w:val="22"/>
          <w:szCs w:val="22"/>
        </w:rPr>
        <w:t>are still relatively new and as such, plans are still making changes from year to year</w:t>
      </w:r>
      <w:r w:rsidR="001D0B1F" w:rsidRPr="00996E3C">
        <w:rPr>
          <w:rFonts w:cstheme="minorHAnsi"/>
          <w:sz w:val="22"/>
          <w:szCs w:val="22"/>
        </w:rPr>
        <w:t xml:space="preserve">. </w:t>
      </w:r>
      <w:r w:rsidR="005E6279" w:rsidRPr="00996E3C">
        <w:rPr>
          <w:rFonts w:cstheme="minorHAnsi"/>
          <w:sz w:val="22"/>
          <w:szCs w:val="22"/>
        </w:rPr>
        <w:t xml:space="preserve">Therefore, supplemental benefits should probably not be a substitute for Medicaid </w:t>
      </w:r>
      <w:r w:rsidR="00202281" w:rsidRPr="00996E3C">
        <w:rPr>
          <w:rFonts w:cstheme="minorHAnsi"/>
          <w:sz w:val="22"/>
          <w:szCs w:val="22"/>
        </w:rPr>
        <w:t xml:space="preserve">coverage but instead </w:t>
      </w:r>
      <w:r w:rsidR="002C6882">
        <w:rPr>
          <w:rFonts w:cstheme="minorHAnsi"/>
          <w:sz w:val="22"/>
          <w:szCs w:val="22"/>
        </w:rPr>
        <w:t xml:space="preserve">use them as a wrap-around benefit </w:t>
      </w:r>
      <w:r w:rsidR="00202281" w:rsidRPr="00996E3C">
        <w:rPr>
          <w:rFonts w:cstheme="minorHAnsi"/>
          <w:sz w:val="22"/>
          <w:szCs w:val="22"/>
        </w:rPr>
        <w:t>build</w:t>
      </w:r>
      <w:r w:rsidR="002C6882">
        <w:rPr>
          <w:rFonts w:cstheme="minorHAnsi"/>
          <w:sz w:val="22"/>
          <w:szCs w:val="22"/>
        </w:rPr>
        <w:t>ing</w:t>
      </w:r>
      <w:r w:rsidR="00202281" w:rsidRPr="00996E3C">
        <w:rPr>
          <w:rFonts w:cstheme="minorHAnsi"/>
          <w:sz w:val="22"/>
          <w:szCs w:val="22"/>
        </w:rPr>
        <w:t xml:space="preserve"> a more comprehensive or robust package of services and supports</w:t>
      </w:r>
      <w:r w:rsidR="0046063F" w:rsidRPr="00996E3C">
        <w:rPr>
          <w:rFonts w:cstheme="minorHAnsi"/>
          <w:sz w:val="22"/>
          <w:szCs w:val="22"/>
        </w:rPr>
        <w:t xml:space="preserve">. </w:t>
      </w:r>
      <w:r w:rsidR="0090351E">
        <w:rPr>
          <w:rFonts w:cstheme="minorHAnsi"/>
          <w:sz w:val="22"/>
          <w:szCs w:val="22"/>
        </w:rPr>
        <w:t>Many of the supplemental benefits offered are limited in scope</w:t>
      </w:r>
      <w:r w:rsidR="005A6102">
        <w:rPr>
          <w:rFonts w:cstheme="minorHAnsi"/>
          <w:sz w:val="22"/>
          <w:szCs w:val="22"/>
        </w:rPr>
        <w:t xml:space="preserve"> compared to the same benefit under Medicaid.</w:t>
      </w:r>
      <w:r w:rsidR="00EC704B">
        <w:rPr>
          <w:rFonts w:cstheme="minorHAnsi"/>
          <w:sz w:val="22"/>
          <w:szCs w:val="22"/>
        </w:rPr>
        <w:t xml:space="preserve"> For example, an enrollee might be eligible for up to $2500 in in-home care benefits for the plan year compared to </w:t>
      </w:r>
      <w:r w:rsidR="006F2A67">
        <w:rPr>
          <w:rFonts w:cstheme="minorHAnsi"/>
          <w:sz w:val="22"/>
          <w:szCs w:val="22"/>
        </w:rPr>
        <w:t xml:space="preserve">a more comprehensive benefit under Medicaid that is based off their assessed needs. </w:t>
      </w:r>
      <w:r w:rsidR="00374798">
        <w:rPr>
          <w:rFonts w:cstheme="minorHAnsi"/>
          <w:sz w:val="22"/>
          <w:szCs w:val="22"/>
        </w:rPr>
        <w:t xml:space="preserve">It </w:t>
      </w:r>
      <w:r w:rsidR="008A516E">
        <w:rPr>
          <w:rFonts w:cstheme="minorHAnsi"/>
          <w:sz w:val="22"/>
          <w:szCs w:val="22"/>
        </w:rPr>
        <w:t xml:space="preserve">For integrated D-SNPs, it might make sense for the state to take a more </w:t>
      </w:r>
      <w:r w:rsidR="00421C59">
        <w:rPr>
          <w:rFonts w:cstheme="minorHAnsi"/>
          <w:sz w:val="22"/>
          <w:szCs w:val="22"/>
        </w:rPr>
        <w:t xml:space="preserve">active role </w:t>
      </w:r>
      <w:r w:rsidR="003B57A3">
        <w:rPr>
          <w:rFonts w:cstheme="minorHAnsi"/>
          <w:sz w:val="22"/>
          <w:szCs w:val="22"/>
        </w:rPr>
        <w:t>as the plan designs its supplemental benefit package.</w:t>
      </w:r>
    </w:p>
    <w:p w14:paraId="304078B4" w14:textId="77777777" w:rsidR="00EA79C7" w:rsidRPr="00996E3C" w:rsidRDefault="00EA79C7" w:rsidP="00C77940">
      <w:pPr>
        <w:pStyle w:val="ListParagraph"/>
        <w:ind w:left="0"/>
        <w:rPr>
          <w:rFonts w:cstheme="minorHAnsi"/>
          <w:sz w:val="22"/>
          <w:szCs w:val="22"/>
        </w:rPr>
      </w:pPr>
    </w:p>
    <w:p w14:paraId="630ECB5D" w14:textId="04D798E8" w:rsidR="00552268" w:rsidRDefault="003B3757" w:rsidP="00C77940">
      <w:pPr>
        <w:pStyle w:val="ListParagraph"/>
        <w:ind w:left="0"/>
        <w:rPr>
          <w:rFonts w:cstheme="minorHAnsi"/>
          <w:sz w:val="22"/>
          <w:szCs w:val="22"/>
        </w:rPr>
      </w:pPr>
      <w:r w:rsidRPr="00552268">
        <w:rPr>
          <w:rFonts w:cstheme="minorHAnsi"/>
          <w:b/>
          <w:bCs/>
          <w:i/>
          <w:iCs/>
          <w:sz w:val="22"/>
          <w:szCs w:val="22"/>
        </w:rPr>
        <w:t>Medicare-Medicaid Plans</w:t>
      </w:r>
      <w:r w:rsidRPr="00996E3C">
        <w:rPr>
          <w:rFonts w:cstheme="minorHAnsi"/>
          <w:sz w:val="22"/>
          <w:szCs w:val="22"/>
        </w:rPr>
        <w:t xml:space="preserve"> </w:t>
      </w:r>
    </w:p>
    <w:p w14:paraId="56F7698C" w14:textId="758570F1" w:rsidR="00E03C32" w:rsidRPr="00996E3C" w:rsidRDefault="00DF2689" w:rsidP="00C77940">
      <w:pPr>
        <w:pStyle w:val="ListParagraph"/>
        <w:ind w:left="0"/>
        <w:rPr>
          <w:rFonts w:cstheme="minorHAnsi"/>
          <w:sz w:val="22"/>
          <w:szCs w:val="22"/>
        </w:rPr>
      </w:pPr>
      <w:r>
        <w:rPr>
          <w:rFonts w:cstheme="minorHAnsi"/>
          <w:sz w:val="22"/>
          <w:szCs w:val="22"/>
        </w:rPr>
        <w:t xml:space="preserve">LeadingAge supports CMS’s direction in the proposed rules to </w:t>
      </w:r>
      <w:r w:rsidR="00D77447">
        <w:rPr>
          <w:rFonts w:cstheme="minorHAnsi"/>
          <w:sz w:val="22"/>
          <w:szCs w:val="22"/>
        </w:rPr>
        <w:t>simplify D-SNP and integrated plans. We understand i</w:t>
      </w:r>
      <w:r w:rsidR="00F04D94" w:rsidRPr="00996E3C">
        <w:rPr>
          <w:rFonts w:cstheme="minorHAnsi"/>
          <w:sz w:val="22"/>
          <w:szCs w:val="22"/>
        </w:rPr>
        <w:t xml:space="preserve">f the </w:t>
      </w:r>
      <w:r w:rsidR="00B74F5B">
        <w:rPr>
          <w:rFonts w:cstheme="minorHAnsi"/>
          <w:sz w:val="22"/>
          <w:szCs w:val="22"/>
        </w:rPr>
        <w:t xml:space="preserve">proposed D-SNP </w:t>
      </w:r>
      <w:r w:rsidR="00D77447">
        <w:rPr>
          <w:rFonts w:cstheme="minorHAnsi"/>
          <w:sz w:val="22"/>
          <w:szCs w:val="22"/>
        </w:rPr>
        <w:t xml:space="preserve">changes </w:t>
      </w:r>
      <w:r w:rsidR="00B74F5B">
        <w:rPr>
          <w:rFonts w:cstheme="minorHAnsi"/>
          <w:sz w:val="22"/>
          <w:szCs w:val="22"/>
        </w:rPr>
        <w:t xml:space="preserve">are finalized </w:t>
      </w:r>
      <w:r w:rsidR="006C094A">
        <w:rPr>
          <w:rFonts w:cstheme="minorHAnsi"/>
          <w:sz w:val="22"/>
          <w:szCs w:val="22"/>
        </w:rPr>
        <w:t xml:space="preserve">that </w:t>
      </w:r>
      <w:r w:rsidR="00332A65" w:rsidRPr="00996E3C">
        <w:rPr>
          <w:rFonts w:cstheme="minorHAnsi"/>
          <w:sz w:val="22"/>
          <w:szCs w:val="22"/>
        </w:rPr>
        <w:lastRenderedPageBreak/>
        <w:t xml:space="preserve">CMS </w:t>
      </w:r>
      <w:r w:rsidR="006C094A">
        <w:rPr>
          <w:rFonts w:cstheme="minorHAnsi"/>
          <w:sz w:val="22"/>
          <w:szCs w:val="22"/>
        </w:rPr>
        <w:t xml:space="preserve">will seek to </w:t>
      </w:r>
      <w:r w:rsidR="00294AA3" w:rsidRPr="00996E3C">
        <w:rPr>
          <w:rFonts w:cstheme="minorHAnsi"/>
          <w:sz w:val="22"/>
          <w:szCs w:val="22"/>
        </w:rPr>
        <w:t xml:space="preserve">work with states to </w:t>
      </w:r>
      <w:r w:rsidR="00A71DF4" w:rsidRPr="00996E3C">
        <w:rPr>
          <w:rFonts w:cstheme="minorHAnsi"/>
          <w:sz w:val="22"/>
          <w:szCs w:val="22"/>
        </w:rPr>
        <w:t>transition</w:t>
      </w:r>
      <w:r w:rsidR="006C094A">
        <w:rPr>
          <w:rFonts w:cstheme="minorHAnsi"/>
          <w:sz w:val="22"/>
          <w:szCs w:val="22"/>
        </w:rPr>
        <w:t xml:space="preserve"> Medicare-Medicaid Plans</w:t>
      </w:r>
      <w:r w:rsidR="00A71DF4" w:rsidRPr="00996E3C">
        <w:rPr>
          <w:rFonts w:cstheme="minorHAnsi"/>
          <w:sz w:val="22"/>
          <w:szCs w:val="22"/>
        </w:rPr>
        <w:t xml:space="preserve"> </w:t>
      </w:r>
      <w:r w:rsidR="00642B59">
        <w:rPr>
          <w:rFonts w:cstheme="minorHAnsi"/>
          <w:sz w:val="22"/>
          <w:szCs w:val="22"/>
        </w:rPr>
        <w:t xml:space="preserve">into the </w:t>
      </w:r>
      <w:r w:rsidR="00A71DF4" w:rsidRPr="00996E3C">
        <w:rPr>
          <w:rFonts w:cstheme="minorHAnsi"/>
          <w:sz w:val="22"/>
          <w:szCs w:val="22"/>
        </w:rPr>
        <w:t>integrated DSNP</w:t>
      </w:r>
      <w:r w:rsidR="00642B59">
        <w:rPr>
          <w:rFonts w:cstheme="minorHAnsi"/>
          <w:sz w:val="22"/>
          <w:szCs w:val="22"/>
        </w:rPr>
        <w:t xml:space="preserve"> rubric. </w:t>
      </w:r>
      <w:r w:rsidR="00B8399F" w:rsidRPr="00996E3C">
        <w:rPr>
          <w:rFonts w:cstheme="minorHAnsi"/>
          <w:sz w:val="22"/>
          <w:szCs w:val="22"/>
        </w:rPr>
        <w:t>We agree that simplifying the number of products offered to duals would be easier for state</w:t>
      </w:r>
      <w:r w:rsidR="00A60597" w:rsidRPr="00996E3C">
        <w:rPr>
          <w:rFonts w:cstheme="minorHAnsi"/>
          <w:sz w:val="22"/>
          <w:szCs w:val="22"/>
        </w:rPr>
        <w:t>s</w:t>
      </w:r>
      <w:r w:rsidR="00B8399F" w:rsidRPr="00996E3C">
        <w:rPr>
          <w:rFonts w:cstheme="minorHAnsi"/>
          <w:sz w:val="22"/>
          <w:szCs w:val="22"/>
        </w:rPr>
        <w:t xml:space="preserve"> </w:t>
      </w:r>
      <w:r w:rsidR="0014029C" w:rsidRPr="00996E3C">
        <w:rPr>
          <w:rFonts w:cstheme="minorHAnsi"/>
          <w:sz w:val="22"/>
          <w:szCs w:val="22"/>
        </w:rPr>
        <w:t xml:space="preserve">to administer </w:t>
      </w:r>
      <w:r w:rsidR="00B8399F" w:rsidRPr="00996E3C">
        <w:rPr>
          <w:rFonts w:cstheme="minorHAnsi"/>
          <w:sz w:val="22"/>
          <w:szCs w:val="22"/>
        </w:rPr>
        <w:t xml:space="preserve">as well as beneficiaries and providers to understand. </w:t>
      </w:r>
      <w:r w:rsidR="00A60597" w:rsidRPr="00996E3C">
        <w:rPr>
          <w:rFonts w:cstheme="minorHAnsi"/>
          <w:sz w:val="22"/>
          <w:szCs w:val="22"/>
        </w:rPr>
        <w:t xml:space="preserve">However, we would </w:t>
      </w:r>
      <w:r w:rsidR="00581DA8">
        <w:rPr>
          <w:rFonts w:cstheme="minorHAnsi"/>
          <w:sz w:val="22"/>
          <w:szCs w:val="22"/>
        </w:rPr>
        <w:t>caution</w:t>
      </w:r>
      <w:r w:rsidR="00D40F92" w:rsidRPr="00996E3C">
        <w:rPr>
          <w:rFonts w:cstheme="minorHAnsi"/>
          <w:sz w:val="22"/>
          <w:szCs w:val="22"/>
        </w:rPr>
        <w:t xml:space="preserve"> CMS to carefully evaluate the aspects of MMPs that may be lost</w:t>
      </w:r>
      <w:r w:rsidR="005835AF" w:rsidRPr="00996E3C">
        <w:rPr>
          <w:rFonts w:cstheme="minorHAnsi"/>
          <w:sz w:val="22"/>
          <w:szCs w:val="22"/>
        </w:rPr>
        <w:t xml:space="preserve"> such as the integrated enrollment process and integrated </w:t>
      </w:r>
      <w:r w:rsidR="00BC0029" w:rsidRPr="00996E3C">
        <w:rPr>
          <w:rFonts w:cstheme="minorHAnsi"/>
          <w:sz w:val="22"/>
          <w:szCs w:val="22"/>
        </w:rPr>
        <w:t>beneficiary communication</w:t>
      </w:r>
      <w:r w:rsidR="005835AF" w:rsidRPr="00996E3C">
        <w:rPr>
          <w:rFonts w:cstheme="minorHAnsi"/>
          <w:sz w:val="22"/>
          <w:szCs w:val="22"/>
        </w:rPr>
        <w:t xml:space="preserve"> materials</w:t>
      </w:r>
      <w:r w:rsidR="00BC0029" w:rsidRPr="00996E3C">
        <w:rPr>
          <w:rFonts w:cstheme="minorHAnsi"/>
          <w:sz w:val="22"/>
          <w:szCs w:val="22"/>
        </w:rPr>
        <w:t xml:space="preserve">. </w:t>
      </w:r>
      <w:r w:rsidR="000930D3" w:rsidRPr="00996E3C">
        <w:rPr>
          <w:rFonts w:cstheme="minorHAnsi"/>
          <w:sz w:val="22"/>
          <w:szCs w:val="22"/>
        </w:rPr>
        <w:t xml:space="preserve">We would also encourage CMS to consider how it might maintain </w:t>
      </w:r>
      <w:r w:rsidR="00A72926" w:rsidRPr="00996E3C">
        <w:rPr>
          <w:rFonts w:cstheme="minorHAnsi"/>
          <w:sz w:val="22"/>
          <w:szCs w:val="22"/>
        </w:rPr>
        <w:t xml:space="preserve">the options counseling it provides as part of the </w:t>
      </w:r>
      <w:r w:rsidR="00EE56DD">
        <w:rPr>
          <w:rFonts w:cstheme="minorHAnsi"/>
          <w:sz w:val="22"/>
          <w:szCs w:val="22"/>
        </w:rPr>
        <w:t xml:space="preserve">current </w:t>
      </w:r>
      <w:r w:rsidR="00A72926" w:rsidRPr="00996E3C">
        <w:rPr>
          <w:rFonts w:cstheme="minorHAnsi"/>
          <w:sz w:val="22"/>
          <w:szCs w:val="22"/>
        </w:rPr>
        <w:t>MMP</w:t>
      </w:r>
      <w:r w:rsidR="00EE56DD">
        <w:rPr>
          <w:rFonts w:cstheme="minorHAnsi"/>
          <w:sz w:val="22"/>
          <w:szCs w:val="22"/>
        </w:rPr>
        <w:t xml:space="preserve"> program </w:t>
      </w:r>
      <w:r w:rsidR="00A72926" w:rsidRPr="00996E3C">
        <w:rPr>
          <w:rFonts w:cstheme="minorHAnsi"/>
          <w:sz w:val="22"/>
          <w:szCs w:val="22"/>
        </w:rPr>
        <w:t xml:space="preserve">and </w:t>
      </w:r>
      <w:r w:rsidR="00EE56DD">
        <w:rPr>
          <w:rFonts w:cstheme="minorHAnsi"/>
          <w:sz w:val="22"/>
          <w:szCs w:val="22"/>
        </w:rPr>
        <w:t xml:space="preserve">consider </w:t>
      </w:r>
      <w:r w:rsidR="00A72926" w:rsidRPr="00996E3C">
        <w:rPr>
          <w:rFonts w:cstheme="minorHAnsi"/>
          <w:sz w:val="22"/>
          <w:szCs w:val="22"/>
        </w:rPr>
        <w:t>ex</w:t>
      </w:r>
      <w:r w:rsidR="00AC1E16" w:rsidRPr="00996E3C">
        <w:rPr>
          <w:rFonts w:cstheme="minorHAnsi"/>
          <w:sz w:val="22"/>
          <w:szCs w:val="22"/>
        </w:rPr>
        <w:t>pand</w:t>
      </w:r>
      <w:r w:rsidR="00EE56DD">
        <w:rPr>
          <w:rFonts w:cstheme="minorHAnsi"/>
          <w:sz w:val="22"/>
          <w:szCs w:val="22"/>
        </w:rPr>
        <w:t>ing</w:t>
      </w:r>
      <w:r w:rsidR="00AC1E16" w:rsidRPr="00996E3C">
        <w:rPr>
          <w:rFonts w:cstheme="minorHAnsi"/>
          <w:sz w:val="22"/>
          <w:szCs w:val="22"/>
        </w:rPr>
        <w:t xml:space="preserve"> its use to all </w:t>
      </w:r>
      <w:r w:rsidR="00EE56DD">
        <w:rPr>
          <w:rFonts w:cstheme="minorHAnsi"/>
          <w:sz w:val="22"/>
          <w:szCs w:val="22"/>
        </w:rPr>
        <w:t xml:space="preserve">managed care </w:t>
      </w:r>
      <w:r w:rsidR="00AC1E16" w:rsidRPr="00996E3C">
        <w:rPr>
          <w:rFonts w:cstheme="minorHAnsi"/>
          <w:sz w:val="22"/>
          <w:szCs w:val="22"/>
        </w:rPr>
        <w:t xml:space="preserve">products, as beneficiaries could benefit from a neutral source of information as they evaluate their FFS and MA/SNP choices. </w:t>
      </w:r>
    </w:p>
    <w:p w14:paraId="370E8923" w14:textId="77777777" w:rsidR="006A0E94" w:rsidRPr="00996E3C" w:rsidRDefault="006A0E94" w:rsidP="00C77940">
      <w:pPr>
        <w:pStyle w:val="ListParagraph"/>
        <w:ind w:left="0"/>
        <w:rPr>
          <w:rFonts w:cstheme="minorHAnsi"/>
          <w:b/>
          <w:bCs/>
          <w:sz w:val="22"/>
          <w:szCs w:val="22"/>
        </w:rPr>
      </w:pPr>
    </w:p>
    <w:p w14:paraId="4AB9DA71" w14:textId="3697A09F" w:rsidR="006A0E94" w:rsidRPr="00996E3C" w:rsidRDefault="006A0E94" w:rsidP="00C77940">
      <w:pPr>
        <w:pStyle w:val="ListParagraph"/>
        <w:ind w:left="0"/>
        <w:rPr>
          <w:rFonts w:cstheme="minorHAnsi"/>
          <w:sz w:val="22"/>
          <w:szCs w:val="22"/>
        </w:rPr>
      </w:pPr>
      <w:r w:rsidRPr="00996E3C">
        <w:rPr>
          <w:rFonts w:cstheme="minorHAnsi"/>
          <w:sz w:val="22"/>
          <w:szCs w:val="22"/>
        </w:rPr>
        <w:t xml:space="preserve">Thank you again for the opportunity to share </w:t>
      </w:r>
      <w:r w:rsidR="0029777C" w:rsidRPr="00996E3C">
        <w:rPr>
          <w:rFonts w:cstheme="minorHAnsi"/>
          <w:sz w:val="22"/>
          <w:szCs w:val="22"/>
        </w:rPr>
        <w:t xml:space="preserve">our thoughts with you regarding the future direction of Medicare Advantage and Special Needs Plan policies. We are happy to discuss or answer any questions you may have. </w:t>
      </w:r>
    </w:p>
    <w:p w14:paraId="180F1616" w14:textId="77777777" w:rsidR="0029777C" w:rsidRPr="00996E3C" w:rsidRDefault="0029777C" w:rsidP="00C77940">
      <w:pPr>
        <w:pStyle w:val="ListParagraph"/>
        <w:ind w:left="0"/>
        <w:rPr>
          <w:rFonts w:cstheme="minorHAnsi"/>
          <w:sz w:val="22"/>
          <w:szCs w:val="22"/>
        </w:rPr>
      </w:pPr>
    </w:p>
    <w:p w14:paraId="40493CFE" w14:textId="77777777" w:rsidR="0029777C" w:rsidRPr="00996E3C" w:rsidRDefault="0029777C" w:rsidP="00C77940">
      <w:pPr>
        <w:pStyle w:val="ListParagraph"/>
        <w:ind w:left="0"/>
        <w:rPr>
          <w:rFonts w:cstheme="minorHAnsi"/>
          <w:sz w:val="22"/>
          <w:szCs w:val="22"/>
        </w:rPr>
      </w:pPr>
    </w:p>
    <w:p w14:paraId="57A5A466" w14:textId="261BADC8" w:rsidR="0029777C" w:rsidRPr="00996E3C" w:rsidRDefault="0029777C" w:rsidP="00C77940">
      <w:pPr>
        <w:pStyle w:val="ListParagraph"/>
        <w:ind w:left="0"/>
        <w:rPr>
          <w:rFonts w:cstheme="minorHAnsi"/>
          <w:sz w:val="22"/>
          <w:szCs w:val="22"/>
        </w:rPr>
      </w:pPr>
      <w:r w:rsidRPr="00996E3C">
        <w:rPr>
          <w:rFonts w:cstheme="minorHAnsi"/>
          <w:sz w:val="22"/>
          <w:szCs w:val="22"/>
        </w:rPr>
        <w:t xml:space="preserve">Sincerely, </w:t>
      </w:r>
    </w:p>
    <w:p w14:paraId="3D2F33C8" w14:textId="77777777" w:rsidR="0029777C" w:rsidRPr="00996E3C" w:rsidRDefault="0029777C" w:rsidP="00C77940">
      <w:pPr>
        <w:pStyle w:val="ListParagraph"/>
        <w:ind w:left="0"/>
        <w:rPr>
          <w:rFonts w:cstheme="minorHAnsi"/>
          <w:sz w:val="22"/>
          <w:szCs w:val="22"/>
        </w:rPr>
      </w:pPr>
    </w:p>
    <w:p w14:paraId="4467F09F" w14:textId="77777777" w:rsidR="0029777C" w:rsidRPr="00996E3C" w:rsidRDefault="0029777C" w:rsidP="00C77940">
      <w:pPr>
        <w:pStyle w:val="ListParagraph"/>
        <w:ind w:left="0"/>
        <w:rPr>
          <w:rFonts w:cstheme="minorHAnsi"/>
          <w:sz w:val="22"/>
          <w:szCs w:val="22"/>
        </w:rPr>
      </w:pPr>
    </w:p>
    <w:p w14:paraId="6804D03D" w14:textId="77777777" w:rsidR="0029777C" w:rsidRPr="00996E3C" w:rsidRDefault="0029777C" w:rsidP="00C77940">
      <w:pPr>
        <w:pStyle w:val="ListParagraph"/>
        <w:ind w:left="0"/>
        <w:rPr>
          <w:rFonts w:cstheme="minorHAnsi"/>
          <w:sz w:val="22"/>
          <w:szCs w:val="22"/>
        </w:rPr>
      </w:pPr>
    </w:p>
    <w:p w14:paraId="245C6AE4" w14:textId="77777777" w:rsidR="0029777C" w:rsidRPr="00996E3C" w:rsidRDefault="0029777C" w:rsidP="00C77940">
      <w:pPr>
        <w:pStyle w:val="ListParagraph"/>
        <w:ind w:left="0"/>
        <w:rPr>
          <w:rFonts w:cstheme="minorHAnsi"/>
          <w:sz w:val="22"/>
          <w:szCs w:val="22"/>
        </w:rPr>
      </w:pPr>
    </w:p>
    <w:p w14:paraId="4FC440E6" w14:textId="50C8CAD7" w:rsidR="0029777C" w:rsidRPr="00996E3C" w:rsidRDefault="0029777C" w:rsidP="00C77940">
      <w:pPr>
        <w:pStyle w:val="ListParagraph"/>
        <w:ind w:left="0"/>
        <w:rPr>
          <w:rFonts w:cstheme="minorHAnsi"/>
          <w:sz w:val="22"/>
          <w:szCs w:val="22"/>
        </w:rPr>
      </w:pPr>
      <w:r w:rsidRPr="00996E3C">
        <w:rPr>
          <w:rFonts w:cstheme="minorHAnsi"/>
          <w:sz w:val="22"/>
          <w:szCs w:val="22"/>
        </w:rPr>
        <w:t>Nicole O. Fallon</w:t>
      </w:r>
    </w:p>
    <w:p w14:paraId="0D09CF24" w14:textId="0852AE45" w:rsidR="0029777C" w:rsidRPr="00996E3C" w:rsidRDefault="0029777C" w:rsidP="00C77940">
      <w:pPr>
        <w:pStyle w:val="ListParagraph"/>
        <w:ind w:left="0"/>
        <w:rPr>
          <w:rFonts w:cstheme="minorHAnsi"/>
          <w:sz w:val="22"/>
          <w:szCs w:val="22"/>
        </w:rPr>
      </w:pPr>
      <w:r w:rsidRPr="00996E3C">
        <w:rPr>
          <w:rFonts w:cstheme="minorHAnsi"/>
          <w:sz w:val="22"/>
          <w:szCs w:val="22"/>
        </w:rPr>
        <w:t>Vice President, Health Policy &amp; Integrated Services</w:t>
      </w:r>
    </w:p>
    <w:p w14:paraId="464B246A" w14:textId="523D5D82" w:rsidR="0029777C" w:rsidRPr="00996E3C" w:rsidRDefault="0029777C" w:rsidP="00C77940">
      <w:pPr>
        <w:pStyle w:val="ListParagraph"/>
        <w:ind w:left="0"/>
        <w:rPr>
          <w:rFonts w:cstheme="minorHAnsi"/>
          <w:sz w:val="22"/>
          <w:szCs w:val="22"/>
        </w:rPr>
      </w:pPr>
      <w:r w:rsidRPr="00996E3C">
        <w:rPr>
          <w:rFonts w:cstheme="minorHAnsi"/>
          <w:sz w:val="22"/>
          <w:szCs w:val="22"/>
        </w:rPr>
        <w:t>Director, Center for Managed Care Solutions &amp; Innovations</w:t>
      </w:r>
    </w:p>
    <w:p w14:paraId="03C4F50D" w14:textId="6E4EFD42" w:rsidR="0029777C" w:rsidRPr="00996E3C" w:rsidRDefault="0029777C" w:rsidP="00C77940">
      <w:pPr>
        <w:pStyle w:val="ListParagraph"/>
        <w:ind w:left="0"/>
        <w:rPr>
          <w:rFonts w:cstheme="minorHAnsi"/>
          <w:sz w:val="22"/>
          <w:szCs w:val="22"/>
        </w:rPr>
      </w:pPr>
      <w:r w:rsidRPr="00996E3C">
        <w:rPr>
          <w:rFonts w:cstheme="minorHAnsi"/>
          <w:sz w:val="22"/>
          <w:szCs w:val="22"/>
        </w:rPr>
        <w:t>LeadingAge</w:t>
      </w:r>
    </w:p>
    <w:p w14:paraId="0DEC10CD" w14:textId="1F0B92E1" w:rsidR="00E27C30" w:rsidRPr="00996E3C" w:rsidRDefault="00560E96" w:rsidP="00C77940">
      <w:pPr>
        <w:pStyle w:val="ListParagraph"/>
        <w:ind w:left="0"/>
        <w:rPr>
          <w:rFonts w:cstheme="minorHAnsi"/>
          <w:sz w:val="22"/>
          <w:szCs w:val="22"/>
        </w:rPr>
      </w:pPr>
      <w:hyperlink r:id="rId10" w:history="1">
        <w:r w:rsidR="00E27C30" w:rsidRPr="00996E3C">
          <w:rPr>
            <w:rStyle w:val="Hyperlink"/>
            <w:rFonts w:cstheme="minorHAnsi"/>
            <w:sz w:val="22"/>
            <w:szCs w:val="22"/>
          </w:rPr>
          <w:t>nfallon@leadingage.org</w:t>
        </w:r>
      </w:hyperlink>
    </w:p>
    <w:p w14:paraId="76DE016F" w14:textId="77777777" w:rsidR="00E27C30" w:rsidRPr="00996E3C" w:rsidRDefault="00E27C30">
      <w:pPr>
        <w:rPr>
          <w:rFonts w:cstheme="minorHAnsi"/>
          <w:sz w:val="22"/>
          <w:szCs w:val="22"/>
        </w:rPr>
      </w:pPr>
      <w:r w:rsidRPr="00996E3C">
        <w:rPr>
          <w:rFonts w:cstheme="minorHAnsi"/>
          <w:sz w:val="22"/>
          <w:szCs w:val="22"/>
        </w:rPr>
        <w:br w:type="page"/>
      </w:r>
    </w:p>
    <w:p w14:paraId="38040D08" w14:textId="77777777" w:rsidR="00E27C30" w:rsidRPr="00996E3C" w:rsidRDefault="00E27C30" w:rsidP="00E27C30">
      <w:pPr>
        <w:rPr>
          <w:rFonts w:cstheme="minorHAnsi"/>
          <w:b/>
          <w:bCs/>
          <w:sz w:val="22"/>
          <w:szCs w:val="22"/>
        </w:rPr>
      </w:pPr>
      <w:r w:rsidRPr="00996E3C">
        <w:rPr>
          <w:rFonts w:cstheme="minorHAnsi"/>
          <w:b/>
          <w:bCs/>
          <w:sz w:val="22"/>
          <w:szCs w:val="22"/>
        </w:rPr>
        <w:lastRenderedPageBreak/>
        <w:t xml:space="preserve">Permit states to require FIDE and establish contracts to require certain D-SNPs with exclusively aligned enrollment have contracts limited to one or more D-SNPs in the state and integrate materials.  This would allow star ratings to be reported only on the DSNPs vs. comingled with MA and other SNP products. </w:t>
      </w:r>
    </w:p>
    <w:p w14:paraId="037E8001" w14:textId="77777777" w:rsidR="006D3C23" w:rsidRPr="00996E3C" w:rsidRDefault="006D3C23" w:rsidP="00C77940">
      <w:pPr>
        <w:pStyle w:val="ListParagraph"/>
        <w:ind w:left="0"/>
        <w:rPr>
          <w:rFonts w:cstheme="minorHAnsi"/>
          <w:sz w:val="22"/>
          <w:szCs w:val="22"/>
        </w:rPr>
      </w:pPr>
    </w:p>
    <w:p w14:paraId="52A95F96" w14:textId="77777777" w:rsidR="00996E3C" w:rsidRPr="00996E3C" w:rsidRDefault="00996E3C">
      <w:pPr>
        <w:pStyle w:val="ListParagraph"/>
        <w:ind w:left="0"/>
        <w:rPr>
          <w:rFonts w:cstheme="minorHAnsi"/>
          <w:sz w:val="22"/>
          <w:szCs w:val="22"/>
        </w:rPr>
      </w:pPr>
    </w:p>
    <w:sectPr w:rsidR="00996E3C" w:rsidRPr="00996E3C" w:rsidSect="00C2476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ED93" w14:textId="77777777" w:rsidR="00571FA6" w:rsidRDefault="00571FA6" w:rsidP="00EC7182">
      <w:r>
        <w:separator/>
      </w:r>
    </w:p>
  </w:endnote>
  <w:endnote w:type="continuationSeparator" w:id="0">
    <w:p w14:paraId="33A5D54F" w14:textId="77777777" w:rsidR="00571FA6" w:rsidRDefault="00571FA6" w:rsidP="00E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534261"/>
      <w:docPartObj>
        <w:docPartGallery w:val="Page Numbers (Bottom of Page)"/>
        <w:docPartUnique/>
      </w:docPartObj>
    </w:sdtPr>
    <w:sdtEndPr>
      <w:rPr>
        <w:rStyle w:val="PageNumber"/>
      </w:rPr>
    </w:sdtEndPr>
    <w:sdtContent>
      <w:p w14:paraId="4CCAF9A5" w14:textId="78B8C81C" w:rsidR="00EC7182" w:rsidRDefault="00EC7182" w:rsidP="00A637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435A6" w14:textId="77777777" w:rsidR="00EC7182" w:rsidRDefault="00EC7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28575"/>
      <w:docPartObj>
        <w:docPartGallery w:val="Page Numbers (Bottom of Page)"/>
        <w:docPartUnique/>
      </w:docPartObj>
    </w:sdtPr>
    <w:sdtEndPr>
      <w:rPr>
        <w:rStyle w:val="PageNumber"/>
      </w:rPr>
    </w:sdtEndPr>
    <w:sdtContent>
      <w:p w14:paraId="6C5DB00D" w14:textId="3D880DF2" w:rsidR="00EC7182" w:rsidRDefault="00EC7182" w:rsidP="00A637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D9BC4" w14:textId="77777777" w:rsidR="00EC7182" w:rsidRDefault="00EC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207D" w14:textId="77777777" w:rsidR="00571FA6" w:rsidRDefault="00571FA6" w:rsidP="00EC7182">
      <w:r>
        <w:separator/>
      </w:r>
    </w:p>
  </w:footnote>
  <w:footnote w:type="continuationSeparator" w:id="0">
    <w:p w14:paraId="2048FACB" w14:textId="77777777" w:rsidR="00571FA6" w:rsidRDefault="00571FA6" w:rsidP="00EC7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FF2"/>
    <w:multiLevelType w:val="hybridMultilevel"/>
    <w:tmpl w:val="86EED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25B"/>
    <w:multiLevelType w:val="hybridMultilevel"/>
    <w:tmpl w:val="6518B4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16A3E8A"/>
    <w:multiLevelType w:val="hybridMultilevel"/>
    <w:tmpl w:val="EE640BC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764F9B"/>
    <w:multiLevelType w:val="hybridMultilevel"/>
    <w:tmpl w:val="68CCC2E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244BFB"/>
    <w:multiLevelType w:val="hybridMultilevel"/>
    <w:tmpl w:val="A52CFD4A"/>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CB04E5AA">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AE713DC"/>
    <w:multiLevelType w:val="hybridMultilevel"/>
    <w:tmpl w:val="8E142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703D0F"/>
    <w:multiLevelType w:val="hybridMultilevel"/>
    <w:tmpl w:val="3C9C784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4B"/>
    <w:rsid w:val="00002977"/>
    <w:rsid w:val="00002E59"/>
    <w:rsid w:val="00002F28"/>
    <w:rsid w:val="00006C1A"/>
    <w:rsid w:val="0000708B"/>
    <w:rsid w:val="00007142"/>
    <w:rsid w:val="00012B85"/>
    <w:rsid w:val="000145CE"/>
    <w:rsid w:val="000147E6"/>
    <w:rsid w:val="000159FC"/>
    <w:rsid w:val="00015AE9"/>
    <w:rsid w:val="0001638A"/>
    <w:rsid w:val="00020301"/>
    <w:rsid w:val="000203B1"/>
    <w:rsid w:val="00021047"/>
    <w:rsid w:val="0003052C"/>
    <w:rsid w:val="00035DD4"/>
    <w:rsid w:val="00040326"/>
    <w:rsid w:val="00041C7A"/>
    <w:rsid w:val="00046950"/>
    <w:rsid w:val="000473CF"/>
    <w:rsid w:val="000518F9"/>
    <w:rsid w:val="000528B0"/>
    <w:rsid w:val="00060545"/>
    <w:rsid w:val="000605CB"/>
    <w:rsid w:val="00063456"/>
    <w:rsid w:val="00065C22"/>
    <w:rsid w:val="000715A5"/>
    <w:rsid w:val="000723A7"/>
    <w:rsid w:val="00073153"/>
    <w:rsid w:val="00073185"/>
    <w:rsid w:val="00073E3B"/>
    <w:rsid w:val="00075E60"/>
    <w:rsid w:val="000830A5"/>
    <w:rsid w:val="00083A07"/>
    <w:rsid w:val="00090C02"/>
    <w:rsid w:val="00091D60"/>
    <w:rsid w:val="0009214C"/>
    <w:rsid w:val="000930D3"/>
    <w:rsid w:val="000970CC"/>
    <w:rsid w:val="000A014F"/>
    <w:rsid w:val="000A22AB"/>
    <w:rsid w:val="000A3599"/>
    <w:rsid w:val="000A5785"/>
    <w:rsid w:val="000A7407"/>
    <w:rsid w:val="000A78A9"/>
    <w:rsid w:val="000B26A7"/>
    <w:rsid w:val="000B2AB0"/>
    <w:rsid w:val="000B5AAD"/>
    <w:rsid w:val="000C0D04"/>
    <w:rsid w:val="000C1CE4"/>
    <w:rsid w:val="000C27C1"/>
    <w:rsid w:val="000C30FE"/>
    <w:rsid w:val="000D0259"/>
    <w:rsid w:val="000D0F77"/>
    <w:rsid w:val="000D175D"/>
    <w:rsid w:val="000D1F53"/>
    <w:rsid w:val="000D4858"/>
    <w:rsid w:val="000D774E"/>
    <w:rsid w:val="000D7880"/>
    <w:rsid w:val="000E3B0E"/>
    <w:rsid w:val="000E5652"/>
    <w:rsid w:val="000F0279"/>
    <w:rsid w:val="000F0B0A"/>
    <w:rsid w:val="000F29C2"/>
    <w:rsid w:val="000F2C04"/>
    <w:rsid w:val="000F3BB1"/>
    <w:rsid w:val="000F7454"/>
    <w:rsid w:val="001011BC"/>
    <w:rsid w:val="00102539"/>
    <w:rsid w:val="0010336E"/>
    <w:rsid w:val="001046BC"/>
    <w:rsid w:val="00104B66"/>
    <w:rsid w:val="0010561D"/>
    <w:rsid w:val="001060E1"/>
    <w:rsid w:val="001067DC"/>
    <w:rsid w:val="00110DC9"/>
    <w:rsid w:val="0011353B"/>
    <w:rsid w:val="001142F7"/>
    <w:rsid w:val="00132F4D"/>
    <w:rsid w:val="0013326A"/>
    <w:rsid w:val="00133FB8"/>
    <w:rsid w:val="0014029C"/>
    <w:rsid w:val="001409FA"/>
    <w:rsid w:val="00141662"/>
    <w:rsid w:val="001434CB"/>
    <w:rsid w:val="00144936"/>
    <w:rsid w:val="001475D1"/>
    <w:rsid w:val="0015120D"/>
    <w:rsid w:val="00153802"/>
    <w:rsid w:val="00155AE1"/>
    <w:rsid w:val="0015755F"/>
    <w:rsid w:val="00157F02"/>
    <w:rsid w:val="001606A4"/>
    <w:rsid w:val="001615AB"/>
    <w:rsid w:val="00163649"/>
    <w:rsid w:val="00165600"/>
    <w:rsid w:val="00165F29"/>
    <w:rsid w:val="001714D9"/>
    <w:rsid w:val="0017592A"/>
    <w:rsid w:val="00175B1F"/>
    <w:rsid w:val="001830C8"/>
    <w:rsid w:val="00183726"/>
    <w:rsid w:val="00187A21"/>
    <w:rsid w:val="00195293"/>
    <w:rsid w:val="001969EE"/>
    <w:rsid w:val="001A4B5D"/>
    <w:rsid w:val="001B0D1D"/>
    <w:rsid w:val="001B2D84"/>
    <w:rsid w:val="001B55A8"/>
    <w:rsid w:val="001B6685"/>
    <w:rsid w:val="001B6D48"/>
    <w:rsid w:val="001C0145"/>
    <w:rsid w:val="001C238E"/>
    <w:rsid w:val="001C33F2"/>
    <w:rsid w:val="001C5457"/>
    <w:rsid w:val="001C6EDC"/>
    <w:rsid w:val="001D0B1F"/>
    <w:rsid w:val="001D0E81"/>
    <w:rsid w:val="001D3471"/>
    <w:rsid w:val="001D5144"/>
    <w:rsid w:val="001D5245"/>
    <w:rsid w:val="001E249E"/>
    <w:rsid w:val="001E2AF0"/>
    <w:rsid w:val="001E2E3A"/>
    <w:rsid w:val="001E3A79"/>
    <w:rsid w:val="001E6B54"/>
    <w:rsid w:val="001E7391"/>
    <w:rsid w:val="001E7929"/>
    <w:rsid w:val="001E7BB5"/>
    <w:rsid w:val="001F24D6"/>
    <w:rsid w:val="001F2C31"/>
    <w:rsid w:val="001F5DD5"/>
    <w:rsid w:val="00202281"/>
    <w:rsid w:val="002052C1"/>
    <w:rsid w:val="00206EEF"/>
    <w:rsid w:val="00207CEA"/>
    <w:rsid w:val="00207EC6"/>
    <w:rsid w:val="002227AF"/>
    <w:rsid w:val="00231418"/>
    <w:rsid w:val="00235179"/>
    <w:rsid w:val="0023692B"/>
    <w:rsid w:val="00237297"/>
    <w:rsid w:val="002445D2"/>
    <w:rsid w:val="00246B8E"/>
    <w:rsid w:val="00246D81"/>
    <w:rsid w:val="0025129A"/>
    <w:rsid w:val="00266C6F"/>
    <w:rsid w:val="002731BC"/>
    <w:rsid w:val="00275988"/>
    <w:rsid w:val="00275D00"/>
    <w:rsid w:val="00277C7A"/>
    <w:rsid w:val="00280832"/>
    <w:rsid w:val="00286654"/>
    <w:rsid w:val="00287F5E"/>
    <w:rsid w:val="00291F42"/>
    <w:rsid w:val="00293E7D"/>
    <w:rsid w:val="00294AA3"/>
    <w:rsid w:val="00296CB0"/>
    <w:rsid w:val="0029777C"/>
    <w:rsid w:val="002A105C"/>
    <w:rsid w:val="002A6296"/>
    <w:rsid w:val="002A6FDC"/>
    <w:rsid w:val="002A784F"/>
    <w:rsid w:val="002B1DD8"/>
    <w:rsid w:val="002B1E4A"/>
    <w:rsid w:val="002B4167"/>
    <w:rsid w:val="002B742F"/>
    <w:rsid w:val="002C20C4"/>
    <w:rsid w:val="002C2C38"/>
    <w:rsid w:val="002C435A"/>
    <w:rsid w:val="002C4B30"/>
    <w:rsid w:val="002C53A4"/>
    <w:rsid w:val="002C6882"/>
    <w:rsid w:val="002D2C09"/>
    <w:rsid w:val="002D5C87"/>
    <w:rsid w:val="002D5DB9"/>
    <w:rsid w:val="002E090D"/>
    <w:rsid w:val="002E0AFF"/>
    <w:rsid w:val="002E1D37"/>
    <w:rsid w:val="002E2EDC"/>
    <w:rsid w:val="002E3DC7"/>
    <w:rsid w:val="002F0887"/>
    <w:rsid w:val="002F460A"/>
    <w:rsid w:val="00303178"/>
    <w:rsid w:val="0030372A"/>
    <w:rsid w:val="003106D4"/>
    <w:rsid w:val="00310C90"/>
    <w:rsid w:val="0031148F"/>
    <w:rsid w:val="003219B2"/>
    <w:rsid w:val="00323C17"/>
    <w:rsid w:val="003240F2"/>
    <w:rsid w:val="003257AE"/>
    <w:rsid w:val="0032796E"/>
    <w:rsid w:val="00327C42"/>
    <w:rsid w:val="00332A65"/>
    <w:rsid w:val="00334597"/>
    <w:rsid w:val="003413D2"/>
    <w:rsid w:val="00341654"/>
    <w:rsid w:val="00342007"/>
    <w:rsid w:val="00342A34"/>
    <w:rsid w:val="003542EB"/>
    <w:rsid w:val="003547EA"/>
    <w:rsid w:val="00355EAF"/>
    <w:rsid w:val="00356B63"/>
    <w:rsid w:val="00357A50"/>
    <w:rsid w:val="003610E2"/>
    <w:rsid w:val="003630DD"/>
    <w:rsid w:val="0036508C"/>
    <w:rsid w:val="00366415"/>
    <w:rsid w:val="00366B92"/>
    <w:rsid w:val="0036765A"/>
    <w:rsid w:val="003709BE"/>
    <w:rsid w:val="00373E25"/>
    <w:rsid w:val="00374798"/>
    <w:rsid w:val="00377058"/>
    <w:rsid w:val="00380571"/>
    <w:rsid w:val="00381558"/>
    <w:rsid w:val="0038265F"/>
    <w:rsid w:val="003854BF"/>
    <w:rsid w:val="00391A8A"/>
    <w:rsid w:val="00392C00"/>
    <w:rsid w:val="0039478A"/>
    <w:rsid w:val="00395435"/>
    <w:rsid w:val="00395E2A"/>
    <w:rsid w:val="0039739A"/>
    <w:rsid w:val="003A196A"/>
    <w:rsid w:val="003A4265"/>
    <w:rsid w:val="003A529B"/>
    <w:rsid w:val="003A78B3"/>
    <w:rsid w:val="003B3757"/>
    <w:rsid w:val="003B57A3"/>
    <w:rsid w:val="003C76CC"/>
    <w:rsid w:val="003D0910"/>
    <w:rsid w:val="003D228D"/>
    <w:rsid w:val="003D64C5"/>
    <w:rsid w:val="003D6E28"/>
    <w:rsid w:val="003D79C4"/>
    <w:rsid w:val="003E14DD"/>
    <w:rsid w:val="003E40E4"/>
    <w:rsid w:val="003E607B"/>
    <w:rsid w:val="003F1591"/>
    <w:rsid w:val="003F1AFA"/>
    <w:rsid w:val="003F31D4"/>
    <w:rsid w:val="003F66F7"/>
    <w:rsid w:val="003F79F9"/>
    <w:rsid w:val="004008A3"/>
    <w:rsid w:val="00402C0E"/>
    <w:rsid w:val="00402D9E"/>
    <w:rsid w:val="00404799"/>
    <w:rsid w:val="004072E7"/>
    <w:rsid w:val="00415C95"/>
    <w:rsid w:val="00421C59"/>
    <w:rsid w:val="00424ABD"/>
    <w:rsid w:val="00424B4E"/>
    <w:rsid w:val="004259EA"/>
    <w:rsid w:val="00426709"/>
    <w:rsid w:val="00426E67"/>
    <w:rsid w:val="00427340"/>
    <w:rsid w:val="004305DC"/>
    <w:rsid w:val="004318F2"/>
    <w:rsid w:val="00436743"/>
    <w:rsid w:val="00440E4B"/>
    <w:rsid w:val="00444BF4"/>
    <w:rsid w:val="00452147"/>
    <w:rsid w:val="00453F6F"/>
    <w:rsid w:val="0046063F"/>
    <w:rsid w:val="00462055"/>
    <w:rsid w:val="0046595F"/>
    <w:rsid w:val="004678E9"/>
    <w:rsid w:val="004741F4"/>
    <w:rsid w:val="0047724B"/>
    <w:rsid w:val="004774F8"/>
    <w:rsid w:val="004817C8"/>
    <w:rsid w:val="00483AAD"/>
    <w:rsid w:val="004864E8"/>
    <w:rsid w:val="004915D8"/>
    <w:rsid w:val="004933F4"/>
    <w:rsid w:val="0049443C"/>
    <w:rsid w:val="00494BDA"/>
    <w:rsid w:val="004961D9"/>
    <w:rsid w:val="004A1307"/>
    <w:rsid w:val="004A2F1B"/>
    <w:rsid w:val="004A6105"/>
    <w:rsid w:val="004A73FA"/>
    <w:rsid w:val="004B10C8"/>
    <w:rsid w:val="004B5C9A"/>
    <w:rsid w:val="004B607C"/>
    <w:rsid w:val="004B65BA"/>
    <w:rsid w:val="004B67B3"/>
    <w:rsid w:val="004C0747"/>
    <w:rsid w:val="004C274A"/>
    <w:rsid w:val="004C289E"/>
    <w:rsid w:val="004C466E"/>
    <w:rsid w:val="004C54F5"/>
    <w:rsid w:val="004C6A63"/>
    <w:rsid w:val="004C6C8F"/>
    <w:rsid w:val="004D02EF"/>
    <w:rsid w:val="004D1A9C"/>
    <w:rsid w:val="004D221C"/>
    <w:rsid w:val="004D2234"/>
    <w:rsid w:val="004D47BE"/>
    <w:rsid w:val="004E1009"/>
    <w:rsid w:val="004E5360"/>
    <w:rsid w:val="004E5512"/>
    <w:rsid w:val="004E6C13"/>
    <w:rsid w:val="004E7768"/>
    <w:rsid w:val="004F1681"/>
    <w:rsid w:val="004F2AA7"/>
    <w:rsid w:val="004F6592"/>
    <w:rsid w:val="0050666C"/>
    <w:rsid w:val="005108A8"/>
    <w:rsid w:val="00514E4C"/>
    <w:rsid w:val="0051783C"/>
    <w:rsid w:val="005202E5"/>
    <w:rsid w:val="005219E4"/>
    <w:rsid w:val="005310B2"/>
    <w:rsid w:val="005311E5"/>
    <w:rsid w:val="00532411"/>
    <w:rsid w:val="00537A82"/>
    <w:rsid w:val="005422DA"/>
    <w:rsid w:val="00542AD6"/>
    <w:rsid w:val="00547661"/>
    <w:rsid w:val="005509CF"/>
    <w:rsid w:val="00552268"/>
    <w:rsid w:val="0055227D"/>
    <w:rsid w:val="00553613"/>
    <w:rsid w:val="00560065"/>
    <w:rsid w:val="00560E96"/>
    <w:rsid w:val="005675A9"/>
    <w:rsid w:val="0056761D"/>
    <w:rsid w:val="00570FE1"/>
    <w:rsid w:val="00571FA6"/>
    <w:rsid w:val="005739D4"/>
    <w:rsid w:val="00573FAC"/>
    <w:rsid w:val="00574EC1"/>
    <w:rsid w:val="0057506F"/>
    <w:rsid w:val="005753AD"/>
    <w:rsid w:val="00577057"/>
    <w:rsid w:val="00577441"/>
    <w:rsid w:val="005812CB"/>
    <w:rsid w:val="00581DA8"/>
    <w:rsid w:val="005835AF"/>
    <w:rsid w:val="00583DC5"/>
    <w:rsid w:val="005859CC"/>
    <w:rsid w:val="00590013"/>
    <w:rsid w:val="00591F30"/>
    <w:rsid w:val="005938FC"/>
    <w:rsid w:val="005A18A2"/>
    <w:rsid w:val="005A1BE6"/>
    <w:rsid w:val="005A6102"/>
    <w:rsid w:val="005A6C99"/>
    <w:rsid w:val="005A7811"/>
    <w:rsid w:val="005B0D19"/>
    <w:rsid w:val="005B0FEF"/>
    <w:rsid w:val="005B2A7F"/>
    <w:rsid w:val="005B3569"/>
    <w:rsid w:val="005B373A"/>
    <w:rsid w:val="005B63FC"/>
    <w:rsid w:val="005C51B2"/>
    <w:rsid w:val="005C6483"/>
    <w:rsid w:val="005D02DA"/>
    <w:rsid w:val="005D0BB7"/>
    <w:rsid w:val="005D1A9A"/>
    <w:rsid w:val="005D3507"/>
    <w:rsid w:val="005D7F63"/>
    <w:rsid w:val="005E3D67"/>
    <w:rsid w:val="005E6279"/>
    <w:rsid w:val="005E7962"/>
    <w:rsid w:val="005F07BF"/>
    <w:rsid w:val="005F0A2E"/>
    <w:rsid w:val="005F4F56"/>
    <w:rsid w:val="005F537A"/>
    <w:rsid w:val="006033F0"/>
    <w:rsid w:val="006037FF"/>
    <w:rsid w:val="006113AF"/>
    <w:rsid w:val="00611713"/>
    <w:rsid w:val="0061280D"/>
    <w:rsid w:val="006134D4"/>
    <w:rsid w:val="00613AC4"/>
    <w:rsid w:val="00616EDC"/>
    <w:rsid w:val="00620015"/>
    <w:rsid w:val="00630E23"/>
    <w:rsid w:val="0063445F"/>
    <w:rsid w:val="0063788C"/>
    <w:rsid w:val="00642B59"/>
    <w:rsid w:val="00643716"/>
    <w:rsid w:val="0064420A"/>
    <w:rsid w:val="006514F6"/>
    <w:rsid w:val="006539BA"/>
    <w:rsid w:val="00654B84"/>
    <w:rsid w:val="00654D85"/>
    <w:rsid w:val="006563AD"/>
    <w:rsid w:val="006575C9"/>
    <w:rsid w:val="00660B1A"/>
    <w:rsid w:val="00661DF7"/>
    <w:rsid w:val="0066398B"/>
    <w:rsid w:val="00663B88"/>
    <w:rsid w:val="00674BEA"/>
    <w:rsid w:val="0068722B"/>
    <w:rsid w:val="00697587"/>
    <w:rsid w:val="006A0E94"/>
    <w:rsid w:val="006A3252"/>
    <w:rsid w:val="006A4545"/>
    <w:rsid w:val="006A4FDA"/>
    <w:rsid w:val="006A5016"/>
    <w:rsid w:val="006A50C4"/>
    <w:rsid w:val="006B4E4F"/>
    <w:rsid w:val="006B79C7"/>
    <w:rsid w:val="006C094A"/>
    <w:rsid w:val="006C2432"/>
    <w:rsid w:val="006C6A67"/>
    <w:rsid w:val="006D1DE2"/>
    <w:rsid w:val="006D2AC9"/>
    <w:rsid w:val="006D3C23"/>
    <w:rsid w:val="006D43F6"/>
    <w:rsid w:val="006D4582"/>
    <w:rsid w:val="006D4D27"/>
    <w:rsid w:val="006F144A"/>
    <w:rsid w:val="006F23C3"/>
    <w:rsid w:val="006F2A67"/>
    <w:rsid w:val="006F2C62"/>
    <w:rsid w:val="006F34C3"/>
    <w:rsid w:val="006F56A2"/>
    <w:rsid w:val="006F742B"/>
    <w:rsid w:val="006F7B1B"/>
    <w:rsid w:val="00700CBF"/>
    <w:rsid w:val="007015B7"/>
    <w:rsid w:val="0070343A"/>
    <w:rsid w:val="00704B7C"/>
    <w:rsid w:val="007055E5"/>
    <w:rsid w:val="00710874"/>
    <w:rsid w:val="0071221C"/>
    <w:rsid w:val="0071260E"/>
    <w:rsid w:val="00713113"/>
    <w:rsid w:val="007157D3"/>
    <w:rsid w:val="00717492"/>
    <w:rsid w:val="00717E75"/>
    <w:rsid w:val="00720EC1"/>
    <w:rsid w:val="0072305C"/>
    <w:rsid w:val="007249EE"/>
    <w:rsid w:val="007324E5"/>
    <w:rsid w:val="00732944"/>
    <w:rsid w:val="00733107"/>
    <w:rsid w:val="00733256"/>
    <w:rsid w:val="007338EB"/>
    <w:rsid w:val="00741445"/>
    <w:rsid w:val="00741A4A"/>
    <w:rsid w:val="00745937"/>
    <w:rsid w:val="0075087C"/>
    <w:rsid w:val="007516E7"/>
    <w:rsid w:val="00751B01"/>
    <w:rsid w:val="00751CF4"/>
    <w:rsid w:val="007602ED"/>
    <w:rsid w:val="0076038B"/>
    <w:rsid w:val="00761AC5"/>
    <w:rsid w:val="007635B2"/>
    <w:rsid w:val="0076500F"/>
    <w:rsid w:val="007744D2"/>
    <w:rsid w:val="0077468F"/>
    <w:rsid w:val="00782073"/>
    <w:rsid w:val="007825B9"/>
    <w:rsid w:val="0079138A"/>
    <w:rsid w:val="00795F1F"/>
    <w:rsid w:val="007A038C"/>
    <w:rsid w:val="007A0448"/>
    <w:rsid w:val="007A072E"/>
    <w:rsid w:val="007B2511"/>
    <w:rsid w:val="007B45C6"/>
    <w:rsid w:val="007B64C7"/>
    <w:rsid w:val="007C0040"/>
    <w:rsid w:val="007C695B"/>
    <w:rsid w:val="007C6A7D"/>
    <w:rsid w:val="007C6AFD"/>
    <w:rsid w:val="007D557E"/>
    <w:rsid w:val="007D7AFE"/>
    <w:rsid w:val="007D7C30"/>
    <w:rsid w:val="007D7E8C"/>
    <w:rsid w:val="007E3BB2"/>
    <w:rsid w:val="007E3E9C"/>
    <w:rsid w:val="007E4791"/>
    <w:rsid w:val="007E70AD"/>
    <w:rsid w:val="007F0738"/>
    <w:rsid w:val="007F3A90"/>
    <w:rsid w:val="00810DCB"/>
    <w:rsid w:val="00811F9C"/>
    <w:rsid w:val="0081439D"/>
    <w:rsid w:val="00816792"/>
    <w:rsid w:val="00820BDF"/>
    <w:rsid w:val="008227A7"/>
    <w:rsid w:val="00823EFF"/>
    <w:rsid w:val="00823F22"/>
    <w:rsid w:val="00840711"/>
    <w:rsid w:val="008413FF"/>
    <w:rsid w:val="008442EF"/>
    <w:rsid w:val="00845F32"/>
    <w:rsid w:val="008478F0"/>
    <w:rsid w:val="008508D0"/>
    <w:rsid w:val="00853728"/>
    <w:rsid w:val="00856D94"/>
    <w:rsid w:val="00860670"/>
    <w:rsid w:val="00862BCA"/>
    <w:rsid w:val="008630D3"/>
    <w:rsid w:val="00863B1E"/>
    <w:rsid w:val="00864EE2"/>
    <w:rsid w:val="008678F9"/>
    <w:rsid w:val="00877C6C"/>
    <w:rsid w:val="00880E8E"/>
    <w:rsid w:val="00882D7E"/>
    <w:rsid w:val="00890F8F"/>
    <w:rsid w:val="00891D2C"/>
    <w:rsid w:val="00894538"/>
    <w:rsid w:val="0089465B"/>
    <w:rsid w:val="00897EA8"/>
    <w:rsid w:val="008A09A6"/>
    <w:rsid w:val="008A325D"/>
    <w:rsid w:val="008A516E"/>
    <w:rsid w:val="008A79B2"/>
    <w:rsid w:val="008B093F"/>
    <w:rsid w:val="008B2EA5"/>
    <w:rsid w:val="008B3A51"/>
    <w:rsid w:val="008B41C6"/>
    <w:rsid w:val="008B6A4E"/>
    <w:rsid w:val="008B733B"/>
    <w:rsid w:val="008C0093"/>
    <w:rsid w:val="008C0404"/>
    <w:rsid w:val="008C110C"/>
    <w:rsid w:val="008C4A09"/>
    <w:rsid w:val="008C537D"/>
    <w:rsid w:val="008D3F64"/>
    <w:rsid w:val="008D653C"/>
    <w:rsid w:val="008D76CA"/>
    <w:rsid w:val="008D7716"/>
    <w:rsid w:val="008E2A3A"/>
    <w:rsid w:val="008E5D22"/>
    <w:rsid w:val="008F024C"/>
    <w:rsid w:val="008F28DA"/>
    <w:rsid w:val="008F6269"/>
    <w:rsid w:val="008F7E5B"/>
    <w:rsid w:val="0090351E"/>
    <w:rsid w:val="009078C4"/>
    <w:rsid w:val="00910748"/>
    <w:rsid w:val="009111B7"/>
    <w:rsid w:val="00914141"/>
    <w:rsid w:val="0091441D"/>
    <w:rsid w:val="009147B7"/>
    <w:rsid w:val="00915504"/>
    <w:rsid w:val="0091558F"/>
    <w:rsid w:val="0091586D"/>
    <w:rsid w:val="00917557"/>
    <w:rsid w:val="00920543"/>
    <w:rsid w:val="00930B75"/>
    <w:rsid w:val="00934182"/>
    <w:rsid w:val="00934757"/>
    <w:rsid w:val="00940754"/>
    <w:rsid w:val="0094440C"/>
    <w:rsid w:val="0095154B"/>
    <w:rsid w:val="00951F55"/>
    <w:rsid w:val="00952194"/>
    <w:rsid w:val="00952D3F"/>
    <w:rsid w:val="0095320C"/>
    <w:rsid w:val="009561DF"/>
    <w:rsid w:val="00960947"/>
    <w:rsid w:val="0096143E"/>
    <w:rsid w:val="009624C2"/>
    <w:rsid w:val="009654F1"/>
    <w:rsid w:val="0097267F"/>
    <w:rsid w:val="00975268"/>
    <w:rsid w:val="00976413"/>
    <w:rsid w:val="00982284"/>
    <w:rsid w:val="0098447B"/>
    <w:rsid w:val="00984AF0"/>
    <w:rsid w:val="009852CC"/>
    <w:rsid w:val="009863D7"/>
    <w:rsid w:val="009864DE"/>
    <w:rsid w:val="00987F4E"/>
    <w:rsid w:val="00992842"/>
    <w:rsid w:val="00996E3C"/>
    <w:rsid w:val="009A2FDA"/>
    <w:rsid w:val="009A3BEE"/>
    <w:rsid w:val="009A4002"/>
    <w:rsid w:val="009A739F"/>
    <w:rsid w:val="009B00C4"/>
    <w:rsid w:val="009B2BBE"/>
    <w:rsid w:val="009B449A"/>
    <w:rsid w:val="009B47EE"/>
    <w:rsid w:val="009C1208"/>
    <w:rsid w:val="009D41E7"/>
    <w:rsid w:val="009D4F7A"/>
    <w:rsid w:val="009D7384"/>
    <w:rsid w:val="009E46BC"/>
    <w:rsid w:val="009E48E0"/>
    <w:rsid w:val="009E5582"/>
    <w:rsid w:val="009E6707"/>
    <w:rsid w:val="009E707F"/>
    <w:rsid w:val="009E7C39"/>
    <w:rsid w:val="009F0455"/>
    <w:rsid w:val="009F1A3E"/>
    <w:rsid w:val="009F1D74"/>
    <w:rsid w:val="009F29B9"/>
    <w:rsid w:val="009F7456"/>
    <w:rsid w:val="00A0353C"/>
    <w:rsid w:val="00A0537C"/>
    <w:rsid w:val="00A07633"/>
    <w:rsid w:val="00A11E80"/>
    <w:rsid w:val="00A160F7"/>
    <w:rsid w:val="00A16360"/>
    <w:rsid w:val="00A16BA5"/>
    <w:rsid w:val="00A30634"/>
    <w:rsid w:val="00A320E7"/>
    <w:rsid w:val="00A33DAC"/>
    <w:rsid w:val="00A33DBE"/>
    <w:rsid w:val="00A36726"/>
    <w:rsid w:val="00A41AA0"/>
    <w:rsid w:val="00A4219F"/>
    <w:rsid w:val="00A423CF"/>
    <w:rsid w:val="00A42A26"/>
    <w:rsid w:val="00A436A8"/>
    <w:rsid w:val="00A50B1A"/>
    <w:rsid w:val="00A538B6"/>
    <w:rsid w:val="00A557BB"/>
    <w:rsid w:val="00A60595"/>
    <w:rsid w:val="00A60597"/>
    <w:rsid w:val="00A616E4"/>
    <w:rsid w:val="00A628B8"/>
    <w:rsid w:val="00A6595F"/>
    <w:rsid w:val="00A70794"/>
    <w:rsid w:val="00A71477"/>
    <w:rsid w:val="00A71DF4"/>
    <w:rsid w:val="00A72926"/>
    <w:rsid w:val="00A80CD0"/>
    <w:rsid w:val="00A822DB"/>
    <w:rsid w:val="00A84A13"/>
    <w:rsid w:val="00A84D47"/>
    <w:rsid w:val="00A90311"/>
    <w:rsid w:val="00A93161"/>
    <w:rsid w:val="00A96A14"/>
    <w:rsid w:val="00A977CB"/>
    <w:rsid w:val="00AA0750"/>
    <w:rsid w:val="00AA1CF3"/>
    <w:rsid w:val="00AA2A11"/>
    <w:rsid w:val="00AA50D7"/>
    <w:rsid w:val="00AB155A"/>
    <w:rsid w:val="00AB2723"/>
    <w:rsid w:val="00AB45CA"/>
    <w:rsid w:val="00AB5C06"/>
    <w:rsid w:val="00AC1E16"/>
    <w:rsid w:val="00AC3A75"/>
    <w:rsid w:val="00AC6612"/>
    <w:rsid w:val="00AC696A"/>
    <w:rsid w:val="00AD0CD0"/>
    <w:rsid w:val="00AD7848"/>
    <w:rsid w:val="00AD7AD0"/>
    <w:rsid w:val="00AE0AEE"/>
    <w:rsid w:val="00AE4B01"/>
    <w:rsid w:val="00AF20D1"/>
    <w:rsid w:val="00AF36FB"/>
    <w:rsid w:val="00AF4EFE"/>
    <w:rsid w:val="00B01566"/>
    <w:rsid w:val="00B10F89"/>
    <w:rsid w:val="00B1789F"/>
    <w:rsid w:val="00B17A45"/>
    <w:rsid w:val="00B17CD5"/>
    <w:rsid w:val="00B20D60"/>
    <w:rsid w:val="00B213EE"/>
    <w:rsid w:val="00B21B0E"/>
    <w:rsid w:val="00B32FE2"/>
    <w:rsid w:val="00B3316B"/>
    <w:rsid w:val="00B338EC"/>
    <w:rsid w:val="00B35C67"/>
    <w:rsid w:val="00B43696"/>
    <w:rsid w:val="00B45A35"/>
    <w:rsid w:val="00B46E5D"/>
    <w:rsid w:val="00B51523"/>
    <w:rsid w:val="00B51718"/>
    <w:rsid w:val="00B5451A"/>
    <w:rsid w:val="00B5727E"/>
    <w:rsid w:val="00B57D67"/>
    <w:rsid w:val="00B60068"/>
    <w:rsid w:val="00B635E1"/>
    <w:rsid w:val="00B64438"/>
    <w:rsid w:val="00B64591"/>
    <w:rsid w:val="00B67609"/>
    <w:rsid w:val="00B7132B"/>
    <w:rsid w:val="00B714E3"/>
    <w:rsid w:val="00B738EF"/>
    <w:rsid w:val="00B74F5B"/>
    <w:rsid w:val="00B81731"/>
    <w:rsid w:val="00B8200D"/>
    <w:rsid w:val="00B823A9"/>
    <w:rsid w:val="00B8399F"/>
    <w:rsid w:val="00B85290"/>
    <w:rsid w:val="00B86630"/>
    <w:rsid w:val="00B87077"/>
    <w:rsid w:val="00B87672"/>
    <w:rsid w:val="00B91A62"/>
    <w:rsid w:val="00B9526E"/>
    <w:rsid w:val="00BA1415"/>
    <w:rsid w:val="00BA2FA5"/>
    <w:rsid w:val="00BA4AE4"/>
    <w:rsid w:val="00BA76D4"/>
    <w:rsid w:val="00BB1247"/>
    <w:rsid w:val="00BB25DF"/>
    <w:rsid w:val="00BB294F"/>
    <w:rsid w:val="00BB586C"/>
    <w:rsid w:val="00BC0029"/>
    <w:rsid w:val="00BC08D6"/>
    <w:rsid w:val="00BC12F2"/>
    <w:rsid w:val="00BC19E4"/>
    <w:rsid w:val="00BC24A4"/>
    <w:rsid w:val="00BC74D9"/>
    <w:rsid w:val="00BD395A"/>
    <w:rsid w:val="00BD3B30"/>
    <w:rsid w:val="00BD4542"/>
    <w:rsid w:val="00BD611D"/>
    <w:rsid w:val="00BD6F2B"/>
    <w:rsid w:val="00BE15C0"/>
    <w:rsid w:val="00BE1D16"/>
    <w:rsid w:val="00BE1DC4"/>
    <w:rsid w:val="00BE21E6"/>
    <w:rsid w:val="00BE6ED0"/>
    <w:rsid w:val="00BF4B3A"/>
    <w:rsid w:val="00BF4B94"/>
    <w:rsid w:val="00BF5102"/>
    <w:rsid w:val="00BF51FB"/>
    <w:rsid w:val="00BF69DE"/>
    <w:rsid w:val="00C00476"/>
    <w:rsid w:val="00C031DA"/>
    <w:rsid w:val="00C13A4B"/>
    <w:rsid w:val="00C1467A"/>
    <w:rsid w:val="00C16527"/>
    <w:rsid w:val="00C17B15"/>
    <w:rsid w:val="00C2034A"/>
    <w:rsid w:val="00C21A32"/>
    <w:rsid w:val="00C22E6B"/>
    <w:rsid w:val="00C2476C"/>
    <w:rsid w:val="00C25484"/>
    <w:rsid w:val="00C25B05"/>
    <w:rsid w:val="00C26ABD"/>
    <w:rsid w:val="00C36376"/>
    <w:rsid w:val="00C37B20"/>
    <w:rsid w:val="00C42907"/>
    <w:rsid w:val="00C5105F"/>
    <w:rsid w:val="00C5157D"/>
    <w:rsid w:val="00C5174E"/>
    <w:rsid w:val="00C51B46"/>
    <w:rsid w:val="00C528AC"/>
    <w:rsid w:val="00C54225"/>
    <w:rsid w:val="00C57A6D"/>
    <w:rsid w:val="00C62369"/>
    <w:rsid w:val="00C62BAF"/>
    <w:rsid w:val="00C6374C"/>
    <w:rsid w:val="00C640FD"/>
    <w:rsid w:val="00C71B16"/>
    <w:rsid w:val="00C763A1"/>
    <w:rsid w:val="00C77940"/>
    <w:rsid w:val="00C80013"/>
    <w:rsid w:val="00C90781"/>
    <w:rsid w:val="00C9287C"/>
    <w:rsid w:val="00CA0528"/>
    <w:rsid w:val="00CA14E9"/>
    <w:rsid w:val="00CA3694"/>
    <w:rsid w:val="00CA3F48"/>
    <w:rsid w:val="00CA6003"/>
    <w:rsid w:val="00CA76FA"/>
    <w:rsid w:val="00CB0917"/>
    <w:rsid w:val="00CB1A50"/>
    <w:rsid w:val="00CB500F"/>
    <w:rsid w:val="00CC15B3"/>
    <w:rsid w:val="00CC1728"/>
    <w:rsid w:val="00CC374D"/>
    <w:rsid w:val="00CC6D19"/>
    <w:rsid w:val="00CC7F93"/>
    <w:rsid w:val="00CD21A8"/>
    <w:rsid w:val="00CD2BBA"/>
    <w:rsid w:val="00CD3FEA"/>
    <w:rsid w:val="00CD5A0F"/>
    <w:rsid w:val="00CE0A29"/>
    <w:rsid w:val="00CE250B"/>
    <w:rsid w:val="00CE29B8"/>
    <w:rsid w:val="00CE3211"/>
    <w:rsid w:val="00CE76E6"/>
    <w:rsid w:val="00CF4229"/>
    <w:rsid w:val="00CF53AC"/>
    <w:rsid w:val="00CF7590"/>
    <w:rsid w:val="00D01206"/>
    <w:rsid w:val="00D02351"/>
    <w:rsid w:val="00D03991"/>
    <w:rsid w:val="00D05674"/>
    <w:rsid w:val="00D05A32"/>
    <w:rsid w:val="00D13021"/>
    <w:rsid w:val="00D15041"/>
    <w:rsid w:val="00D15268"/>
    <w:rsid w:val="00D25157"/>
    <w:rsid w:val="00D25F0C"/>
    <w:rsid w:val="00D32AD3"/>
    <w:rsid w:val="00D368D1"/>
    <w:rsid w:val="00D40F92"/>
    <w:rsid w:val="00D43BB8"/>
    <w:rsid w:val="00D45A36"/>
    <w:rsid w:val="00D476D0"/>
    <w:rsid w:val="00D5559B"/>
    <w:rsid w:val="00D60A74"/>
    <w:rsid w:val="00D6144D"/>
    <w:rsid w:val="00D61D7F"/>
    <w:rsid w:val="00D62432"/>
    <w:rsid w:val="00D62494"/>
    <w:rsid w:val="00D632B8"/>
    <w:rsid w:val="00D64BD8"/>
    <w:rsid w:val="00D70D0E"/>
    <w:rsid w:val="00D72E31"/>
    <w:rsid w:val="00D77447"/>
    <w:rsid w:val="00D77C43"/>
    <w:rsid w:val="00D840A1"/>
    <w:rsid w:val="00D8467E"/>
    <w:rsid w:val="00D84E0B"/>
    <w:rsid w:val="00D9062F"/>
    <w:rsid w:val="00D91816"/>
    <w:rsid w:val="00D91C77"/>
    <w:rsid w:val="00D928F1"/>
    <w:rsid w:val="00D9459A"/>
    <w:rsid w:val="00D94805"/>
    <w:rsid w:val="00D953BF"/>
    <w:rsid w:val="00DA085B"/>
    <w:rsid w:val="00DA234F"/>
    <w:rsid w:val="00DA246D"/>
    <w:rsid w:val="00DA402D"/>
    <w:rsid w:val="00DA43CC"/>
    <w:rsid w:val="00DA7173"/>
    <w:rsid w:val="00DB2BFA"/>
    <w:rsid w:val="00DB2CA7"/>
    <w:rsid w:val="00DB3669"/>
    <w:rsid w:val="00DB3694"/>
    <w:rsid w:val="00DC1250"/>
    <w:rsid w:val="00DD29CB"/>
    <w:rsid w:val="00DD2C7D"/>
    <w:rsid w:val="00DD70CA"/>
    <w:rsid w:val="00DE035C"/>
    <w:rsid w:val="00DE2900"/>
    <w:rsid w:val="00DF2689"/>
    <w:rsid w:val="00DF5BCC"/>
    <w:rsid w:val="00E0200B"/>
    <w:rsid w:val="00E03008"/>
    <w:rsid w:val="00E03108"/>
    <w:rsid w:val="00E03C32"/>
    <w:rsid w:val="00E06D7F"/>
    <w:rsid w:val="00E07C0E"/>
    <w:rsid w:val="00E100C1"/>
    <w:rsid w:val="00E13923"/>
    <w:rsid w:val="00E16469"/>
    <w:rsid w:val="00E1672C"/>
    <w:rsid w:val="00E20DE0"/>
    <w:rsid w:val="00E2365E"/>
    <w:rsid w:val="00E23ECE"/>
    <w:rsid w:val="00E24F68"/>
    <w:rsid w:val="00E265DF"/>
    <w:rsid w:val="00E270A3"/>
    <w:rsid w:val="00E27C30"/>
    <w:rsid w:val="00E3447C"/>
    <w:rsid w:val="00E370BC"/>
    <w:rsid w:val="00E4490B"/>
    <w:rsid w:val="00E465B6"/>
    <w:rsid w:val="00E5035D"/>
    <w:rsid w:val="00E57BC5"/>
    <w:rsid w:val="00E57F09"/>
    <w:rsid w:val="00E61C23"/>
    <w:rsid w:val="00E66680"/>
    <w:rsid w:val="00E70003"/>
    <w:rsid w:val="00E71DBF"/>
    <w:rsid w:val="00E72353"/>
    <w:rsid w:val="00E75C16"/>
    <w:rsid w:val="00E76B53"/>
    <w:rsid w:val="00E77EF3"/>
    <w:rsid w:val="00E80343"/>
    <w:rsid w:val="00E81DCD"/>
    <w:rsid w:val="00E8223A"/>
    <w:rsid w:val="00E84746"/>
    <w:rsid w:val="00E870F7"/>
    <w:rsid w:val="00E94380"/>
    <w:rsid w:val="00E95896"/>
    <w:rsid w:val="00EA79C7"/>
    <w:rsid w:val="00EB0BCF"/>
    <w:rsid w:val="00EB1E98"/>
    <w:rsid w:val="00EB33B5"/>
    <w:rsid w:val="00EB5295"/>
    <w:rsid w:val="00EB58F1"/>
    <w:rsid w:val="00EB62D0"/>
    <w:rsid w:val="00EB7678"/>
    <w:rsid w:val="00EC0520"/>
    <w:rsid w:val="00EC3AF4"/>
    <w:rsid w:val="00EC49B8"/>
    <w:rsid w:val="00EC5797"/>
    <w:rsid w:val="00EC6ADE"/>
    <w:rsid w:val="00EC704B"/>
    <w:rsid w:val="00EC7182"/>
    <w:rsid w:val="00EC76B3"/>
    <w:rsid w:val="00ED1C87"/>
    <w:rsid w:val="00ED4DBF"/>
    <w:rsid w:val="00ED55C6"/>
    <w:rsid w:val="00ED5EF3"/>
    <w:rsid w:val="00EE1E3E"/>
    <w:rsid w:val="00EE56DD"/>
    <w:rsid w:val="00EE621D"/>
    <w:rsid w:val="00EE67FF"/>
    <w:rsid w:val="00EE7DFE"/>
    <w:rsid w:val="00EF1B30"/>
    <w:rsid w:val="00EF4662"/>
    <w:rsid w:val="00F01B86"/>
    <w:rsid w:val="00F04D94"/>
    <w:rsid w:val="00F06FD8"/>
    <w:rsid w:val="00F1081F"/>
    <w:rsid w:val="00F14398"/>
    <w:rsid w:val="00F1466B"/>
    <w:rsid w:val="00F170C8"/>
    <w:rsid w:val="00F170CE"/>
    <w:rsid w:val="00F17304"/>
    <w:rsid w:val="00F20A36"/>
    <w:rsid w:val="00F20F7C"/>
    <w:rsid w:val="00F234E3"/>
    <w:rsid w:val="00F238EB"/>
    <w:rsid w:val="00F241A7"/>
    <w:rsid w:val="00F248E9"/>
    <w:rsid w:val="00F25E69"/>
    <w:rsid w:val="00F33325"/>
    <w:rsid w:val="00F35207"/>
    <w:rsid w:val="00F4458E"/>
    <w:rsid w:val="00F45EF0"/>
    <w:rsid w:val="00F461A1"/>
    <w:rsid w:val="00F529BA"/>
    <w:rsid w:val="00F57476"/>
    <w:rsid w:val="00F65DB2"/>
    <w:rsid w:val="00F6631A"/>
    <w:rsid w:val="00F73E1E"/>
    <w:rsid w:val="00F763D2"/>
    <w:rsid w:val="00F823AF"/>
    <w:rsid w:val="00F82CFE"/>
    <w:rsid w:val="00F85246"/>
    <w:rsid w:val="00F866A2"/>
    <w:rsid w:val="00F87D3C"/>
    <w:rsid w:val="00F87EA3"/>
    <w:rsid w:val="00F87F2C"/>
    <w:rsid w:val="00F90700"/>
    <w:rsid w:val="00F90AF4"/>
    <w:rsid w:val="00F96650"/>
    <w:rsid w:val="00F96717"/>
    <w:rsid w:val="00FA0666"/>
    <w:rsid w:val="00FA1711"/>
    <w:rsid w:val="00FA2816"/>
    <w:rsid w:val="00FA2897"/>
    <w:rsid w:val="00FA3A1A"/>
    <w:rsid w:val="00FA54E2"/>
    <w:rsid w:val="00FB05C9"/>
    <w:rsid w:val="00FB09E9"/>
    <w:rsid w:val="00FB14D8"/>
    <w:rsid w:val="00FB441E"/>
    <w:rsid w:val="00FC141C"/>
    <w:rsid w:val="00FC18D4"/>
    <w:rsid w:val="00FC6DB1"/>
    <w:rsid w:val="00FD2873"/>
    <w:rsid w:val="00FD39F2"/>
    <w:rsid w:val="00FD782D"/>
    <w:rsid w:val="00FE1089"/>
    <w:rsid w:val="00FE2425"/>
    <w:rsid w:val="00FE25C6"/>
    <w:rsid w:val="00FE2A21"/>
    <w:rsid w:val="00FE6976"/>
    <w:rsid w:val="00FF0497"/>
    <w:rsid w:val="00FF2FCA"/>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7B8E"/>
  <w15:chartTrackingRefBased/>
  <w15:docId w15:val="{F35A6848-E440-5C45-A61F-763EA784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4B"/>
    <w:pPr>
      <w:ind w:left="720"/>
      <w:contextualSpacing/>
    </w:pPr>
  </w:style>
  <w:style w:type="paragraph" w:styleId="NormalWeb">
    <w:name w:val="Normal (Web)"/>
    <w:basedOn w:val="Normal"/>
    <w:uiPriority w:val="99"/>
    <w:unhideWhenUsed/>
    <w:rsid w:val="001F2C3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D1C87"/>
  </w:style>
  <w:style w:type="character" w:styleId="Hyperlink">
    <w:name w:val="Hyperlink"/>
    <w:basedOn w:val="DefaultParagraphFont"/>
    <w:uiPriority w:val="99"/>
    <w:unhideWhenUsed/>
    <w:rsid w:val="00ED1C87"/>
    <w:rPr>
      <w:color w:val="0000FF"/>
      <w:u w:val="single"/>
    </w:rPr>
  </w:style>
  <w:style w:type="character" w:styleId="UnresolvedMention">
    <w:name w:val="Unresolved Mention"/>
    <w:basedOn w:val="DefaultParagraphFont"/>
    <w:uiPriority w:val="99"/>
    <w:semiHidden/>
    <w:unhideWhenUsed/>
    <w:rsid w:val="000D0F77"/>
    <w:rPr>
      <w:color w:val="605E5C"/>
      <w:shd w:val="clear" w:color="auto" w:fill="E1DFDD"/>
    </w:rPr>
  </w:style>
  <w:style w:type="character" w:styleId="FollowedHyperlink">
    <w:name w:val="FollowedHyperlink"/>
    <w:basedOn w:val="DefaultParagraphFont"/>
    <w:uiPriority w:val="99"/>
    <w:semiHidden/>
    <w:unhideWhenUsed/>
    <w:rsid w:val="00366415"/>
    <w:rPr>
      <w:color w:val="954F72" w:themeColor="followedHyperlink"/>
      <w:u w:val="single"/>
    </w:rPr>
  </w:style>
  <w:style w:type="paragraph" w:styleId="Footer">
    <w:name w:val="footer"/>
    <w:basedOn w:val="Normal"/>
    <w:link w:val="FooterChar"/>
    <w:uiPriority w:val="99"/>
    <w:unhideWhenUsed/>
    <w:rsid w:val="00EC7182"/>
    <w:pPr>
      <w:tabs>
        <w:tab w:val="center" w:pos="4680"/>
        <w:tab w:val="right" w:pos="9360"/>
      </w:tabs>
    </w:pPr>
  </w:style>
  <w:style w:type="character" w:customStyle="1" w:styleId="FooterChar">
    <w:name w:val="Footer Char"/>
    <w:basedOn w:val="DefaultParagraphFont"/>
    <w:link w:val="Footer"/>
    <w:uiPriority w:val="99"/>
    <w:rsid w:val="00EC7182"/>
  </w:style>
  <w:style w:type="character" w:styleId="PageNumber">
    <w:name w:val="page number"/>
    <w:basedOn w:val="DefaultParagraphFont"/>
    <w:uiPriority w:val="99"/>
    <w:semiHidden/>
    <w:unhideWhenUsed/>
    <w:rsid w:val="00EC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2059">
      <w:bodyDiv w:val="1"/>
      <w:marLeft w:val="0"/>
      <w:marRight w:val="0"/>
      <w:marTop w:val="0"/>
      <w:marBottom w:val="0"/>
      <w:divBdr>
        <w:top w:val="none" w:sz="0" w:space="0" w:color="auto"/>
        <w:left w:val="none" w:sz="0" w:space="0" w:color="auto"/>
        <w:bottom w:val="none" w:sz="0" w:space="0" w:color="auto"/>
        <w:right w:val="none" w:sz="0" w:space="0" w:color="auto"/>
      </w:divBdr>
      <w:divsChild>
        <w:div w:id="938954098">
          <w:marLeft w:val="0"/>
          <w:marRight w:val="0"/>
          <w:marTop w:val="0"/>
          <w:marBottom w:val="0"/>
          <w:divBdr>
            <w:top w:val="none" w:sz="0" w:space="0" w:color="auto"/>
            <w:left w:val="none" w:sz="0" w:space="0" w:color="auto"/>
            <w:bottom w:val="none" w:sz="0" w:space="0" w:color="auto"/>
            <w:right w:val="none" w:sz="0" w:space="0" w:color="auto"/>
          </w:divBdr>
          <w:divsChild>
            <w:div w:id="1047527999">
              <w:marLeft w:val="0"/>
              <w:marRight w:val="0"/>
              <w:marTop w:val="0"/>
              <w:marBottom w:val="0"/>
              <w:divBdr>
                <w:top w:val="none" w:sz="0" w:space="0" w:color="auto"/>
                <w:left w:val="none" w:sz="0" w:space="0" w:color="auto"/>
                <w:bottom w:val="none" w:sz="0" w:space="0" w:color="auto"/>
                <w:right w:val="none" w:sz="0" w:space="0" w:color="auto"/>
              </w:divBdr>
              <w:divsChild>
                <w:div w:id="2801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3156">
      <w:bodyDiv w:val="1"/>
      <w:marLeft w:val="0"/>
      <w:marRight w:val="0"/>
      <w:marTop w:val="0"/>
      <w:marBottom w:val="0"/>
      <w:divBdr>
        <w:top w:val="none" w:sz="0" w:space="0" w:color="auto"/>
        <w:left w:val="none" w:sz="0" w:space="0" w:color="auto"/>
        <w:bottom w:val="none" w:sz="0" w:space="0" w:color="auto"/>
        <w:right w:val="none" w:sz="0" w:space="0" w:color="auto"/>
      </w:divBdr>
    </w:div>
    <w:div w:id="2003703083">
      <w:bodyDiv w:val="1"/>
      <w:marLeft w:val="0"/>
      <w:marRight w:val="0"/>
      <w:marTop w:val="0"/>
      <w:marBottom w:val="0"/>
      <w:divBdr>
        <w:top w:val="none" w:sz="0" w:space="0" w:color="auto"/>
        <w:left w:val="none" w:sz="0" w:space="0" w:color="auto"/>
        <w:bottom w:val="none" w:sz="0" w:space="0" w:color="auto"/>
        <w:right w:val="none" w:sz="0" w:space="0" w:color="auto"/>
      </w:divBdr>
      <w:divsChild>
        <w:div w:id="131755552">
          <w:marLeft w:val="0"/>
          <w:marRight w:val="0"/>
          <w:marTop w:val="0"/>
          <w:marBottom w:val="0"/>
          <w:divBdr>
            <w:top w:val="none" w:sz="0" w:space="0" w:color="auto"/>
            <w:left w:val="none" w:sz="0" w:space="0" w:color="auto"/>
            <w:bottom w:val="none" w:sz="0" w:space="0" w:color="auto"/>
            <w:right w:val="none" w:sz="0" w:space="0" w:color="auto"/>
          </w:divBdr>
          <w:divsChild>
            <w:div w:id="198979264">
              <w:marLeft w:val="0"/>
              <w:marRight w:val="0"/>
              <w:marTop w:val="0"/>
              <w:marBottom w:val="0"/>
              <w:divBdr>
                <w:top w:val="none" w:sz="0" w:space="0" w:color="auto"/>
                <w:left w:val="none" w:sz="0" w:space="0" w:color="auto"/>
                <w:bottom w:val="none" w:sz="0" w:space="0" w:color="auto"/>
                <w:right w:val="none" w:sz="0" w:space="0" w:color="auto"/>
              </w:divBdr>
              <w:divsChild>
                <w:div w:id="632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hs.harvard.edu/sites/default/files/reports/files/Harvard_JCHS_Americas_Rental_Housing_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fallon@leadingage.org" TargetMode="External"/><Relationship Id="rId4" Type="http://schemas.openxmlformats.org/officeDocument/2006/relationships/settings" Target="settings.xml"/><Relationship Id="rId9" Type="http://schemas.openxmlformats.org/officeDocument/2006/relationships/hyperlink" Target="https://oig.hhs.gov/oei/reports/oei-09-16-00410.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541A-BC34-CE4A-96A1-9964872E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11</Pages>
  <Words>5273</Words>
  <Characters>30057</Characters>
  <Application>Microsoft Office Word</Application>
  <DocSecurity>0</DocSecurity>
  <Lines>250</Lines>
  <Paragraphs>70</Paragraphs>
  <ScaleCrop>false</ScaleCrop>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517</cp:revision>
  <cp:lastPrinted>2022-03-03T21:46:00Z</cp:lastPrinted>
  <dcterms:created xsi:type="dcterms:W3CDTF">2022-03-01T19:43:00Z</dcterms:created>
  <dcterms:modified xsi:type="dcterms:W3CDTF">2022-03-03T23:16:00Z</dcterms:modified>
</cp:coreProperties>
</file>